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C21" w:rsidRDefault="00442372" w:rsidP="000F5C21">
      <w:pPr>
        <w:rPr>
          <w:noProof/>
        </w:rPr>
      </w:pPr>
      <w:bookmarkStart w:id="0" w:name="_Toc110135303"/>
      <w:bookmarkStart w:id="1" w:name="_Toc172605637"/>
      <w:bookmarkStart w:id="2" w:name="_Toc172605722"/>
      <w:bookmarkStart w:id="3" w:name="_Toc172605780"/>
      <w:bookmarkStart w:id="4" w:name="_Toc172605793"/>
      <w:bookmarkStart w:id="5" w:name="_Toc172612444"/>
      <w:r>
        <w:rPr>
          <w:noProof/>
        </w:rPr>
        <w:drawing>
          <wp:inline distT="0" distB="0" distL="0" distR="0" wp14:anchorId="785551D3" wp14:editId="7C31008A">
            <wp:extent cx="2989580" cy="564515"/>
            <wp:effectExtent l="0" t="0" r="1270" b="6985"/>
            <wp:docPr id="1" name="Slika 1" descr="KIS_logotip_SLO_EN_vodoravni_barvni_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S_logotip_SLO_EN_vodoravni_barvni_PANTO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9580" cy="564515"/>
                    </a:xfrm>
                    <a:prstGeom prst="rect">
                      <a:avLst/>
                    </a:prstGeom>
                    <a:noFill/>
                    <a:ln>
                      <a:noFill/>
                    </a:ln>
                  </pic:spPr>
                </pic:pic>
              </a:graphicData>
            </a:graphic>
          </wp:inline>
        </w:drawing>
      </w:r>
    </w:p>
    <w:p w:rsidR="000F5C21" w:rsidRPr="006D0374" w:rsidRDefault="000F5C21" w:rsidP="000F5C21"/>
    <w:tbl>
      <w:tblPr>
        <w:tblW w:w="0" w:type="auto"/>
        <w:tblLook w:val="04A0" w:firstRow="1" w:lastRow="0" w:firstColumn="1" w:lastColumn="0" w:noHBand="0" w:noVBand="1"/>
      </w:tblPr>
      <w:tblGrid>
        <w:gridCol w:w="9212"/>
      </w:tblGrid>
      <w:tr w:rsidR="000F5C21" w:rsidTr="00E67094">
        <w:tc>
          <w:tcPr>
            <w:tcW w:w="9212" w:type="dxa"/>
            <w:shd w:val="clear" w:color="auto" w:fill="auto"/>
          </w:tcPr>
          <w:p w:rsidR="000F5C21" w:rsidRPr="00E67094" w:rsidRDefault="000F5C21" w:rsidP="00E67094">
            <w:pPr>
              <w:jc w:val="left"/>
              <w:rPr>
                <w:rFonts w:ascii="Calibri" w:hAnsi="Calibri" w:cs="Calibri"/>
                <w:noProof/>
                <w:color w:val="262626"/>
                <w:sz w:val="20"/>
              </w:rPr>
            </w:pPr>
            <w:r w:rsidRPr="00E67094">
              <w:rPr>
                <w:rFonts w:ascii="Calibri" w:hAnsi="Calibri" w:cs="Calibri"/>
                <w:noProof/>
                <w:color w:val="262626"/>
                <w:sz w:val="20"/>
              </w:rPr>
              <w:t>Hacquetova ulica 17, SI-1000 Ljubljana</w:t>
            </w:r>
          </w:p>
          <w:p w:rsidR="000F5C21" w:rsidRPr="00E67094" w:rsidRDefault="000F5C21" w:rsidP="00E67094">
            <w:pPr>
              <w:jc w:val="left"/>
              <w:rPr>
                <w:rFonts w:ascii="Calibri" w:hAnsi="Calibri" w:cs="Calibri"/>
                <w:noProof/>
                <w:color w:val="262626"/>
                <w:sz w:val="20"/>
              </w:rPr>
            </w:pPr>
            <w:r w:rsidRPr="00E67094">
              <w:rPr>
                <w:rFonts w:ascii="Calibri" w:hAnsi="Calibri" w:cs="Calibri"/>
                <w:noProof/>
                <w:color w:val="262626"/>
                <w:sz w:val="20"/>
              </w:rPr>
              <w:t>Slovenija/Slovenia</w:t>
            </w:r>
          </w:p>
          <w:p w:rsidR="000F5C21" w:rsidRPr="00E67094" w:rsidRDefault="000F5C21" w:rsidP="00E67094">
            <w:pPr>
              <w:jc w:val="left"/>
              <w:rPr>
                <w:rFonts w:ascii="Calibri" w:hAnsi="Calibri" w:cs="Calibri"/>
                <w:sz w:val="20"/>
              </w:rPr>
            </w:pPr>
            <w:r w:rsidRPr="00E67094">
              <w:rPr>
                <w:rFonts w:ascii="Calibri" w:hAnsi="Calibri" w:cs="Calibri"/>
                <w:b/>
                <w:bCs/>
                <w:noProof/>
                <w:color w:val="262626"/>
                <w:sz w:val="20"/>
              </w:rPr>
              <w:t>T</w:t>
            </w:r>
            <w:r w:rsidRPr="00E67094">
              <w:rPr>
                <w:rFonts w:ascii="Calibri" w:hAnsi="Calibri" w:cs="Calibri"/>
                <w:noProof/>
                <w:color w:val="262626"/>
                <w:sz w:val="20"/>
              </w:rPr>
              <w:t xml:space="preserve"> +386 (0)1 280 52 62 </w:t>
            </w:r>
            <w:r w:rsidRPr="00E67094">
              <w:rPr>
                <w:rFonts w:ascii="Calibri" w:hAnsi="Calibri" w:cs="Calibri"/>
                <w:b/>
                <w:bCs/>
                <w:noProof/>
                <w:color w:val="262626"/>
                <w:sz w:val="20"/>
              </w:rPr>
              <w:t>|</w:t>
            </w:r>
            <w:r w:rsidRPr="00E67094">
              <w:rPr>
                <w:rFonts w:ascii="Calibri" w:hAnsi="Calibri" w:cs="Calibri"/>
                <w:noProof/>
                <w:color w:val="262626"/>
                <w:sz w:val="20"/>
              </w:rPr>
              <w:t xml:space="preserve"> </w:t>
            </w:r>
            <w:r w:rsidRPr="00E67094">
              <w:rPr>
                <w:rFonts w:ascii="Calibri" w:hAnsi="Calibri" w:cs="Calibri"/>
                <w:b/>
                <w:bCs/>
                <w:noProof/>
                <w:color w:val="262626"/>
                <w:sz w:val="20"/>
              </w:rPr>
              <w:t>F</w:t>
            </w:r>
            <w:r w:rsidRPr="00E67094">
              <w:rPr>
                <w:rFonts w:ascii="Calibri" w:hAnsi="Calibri" w:cs="Calibri"/>
                <w:noProof/>
                <w:color w:val="262626"/>
                <w:sz w:val="20"/>
              </w:rPr>
              <w:t xml:space="preserve"> +386 (0)1 280 52 55 </w:t>
            </w:r>
            <w:r w:rsidRPr="00E67094">
              <w:rPr>
                <w:rFonts w:ascii="Calibri" w:hAnsi="Calibri" w:cs="Calibri"/>
                <w:b/>
                <w:bCs/>
                <w:noProof/>
                <w:color w:val="262626"/>
                <w:sz w:val="20"/>
              </w:rPr>
              <w:t>|</w:t>
            </w:r>
            <w:r w:rsidRPr="00E67094">
              <w:rPr>
                <w:rFonts w:ascii="Calibri" w:hAnsi="Calibri" w:cs="Calibri"/>
                <w:noProof/>
                <w:color w:val="262626"/>
                <w:sz w:val="20"/>
              </w:rPr>
              <w:t xml:space="preserve"> </w:t>
            </w:r>
            <w:r w:rsidRPr="00E67094">
              <w:rPr>
                <w:rFonts w:ascii="Calibri" w:hAnsi="Calibri" w:cs="Calibri"/>
                <w:b/>
                <w:bCs/>
                <w:noProof/>
                <w:color w:val="262626"/>
                <w:sz w:val="20"/>
              </w:rPr>
              <w:t>E</w:t>
            </w:r>
            <w:r w:rsidRPr="00E67094">
              <w:rPr>
                <w:rFonts w:ascii="Calibri" w:hAnsi="Calibri" w:cs="Calibri"/>
                <w:noProof/>
                <w:color w:val="262626"/>
                <w:sz w:val="20"/>
              </w:rPr>
              <w:t xml:space="preserve"> info@kis.si </w:t>
            </w:r>
            <w:r w:rsidRPr="00E67094">
              <w:rPr>
                <w:rFonts w:ascii="Calibri" w:hAnsi="Calibri" w:cs="Calibri"/>
                <w:b/>
                <w:bCs/>
                <w:noProof/>
                <w:color w:val="262626"/>
                <w:sz w:val="20"/>
              </w:rPr>
              <w:t xml:space="preserve">| </w:t>
            </w:r>
            <w:r w:rsidRPr="00E67094">
              <w:rPr>
                <w:rFonts w:ascii="Calibri" w:hAnsi="Calibri" w:cs="Calibri"/>
                <w:noProof/>
                <w:color w:val="566C11"/>
                <w:sz w:val="20"/>
              </w:rPr>
              <w:t>www.kis.si</w:t>
            </w:r>
            <w:r w:rsidRPr="00E67094">
              <w:rPr>
                <w:rFonts w:ascii="Calibri" w:hAnsi="Calibri" w:cs="Calibri"/>
                <w:b/>
                <w:bCs/>
                <w:noProof/>
                <w:sz w:val="20"/>
              </w:rPr>
              <w:t xml:space="preserve"> </w:t>
            </w:r>
          </w:p>
          <w:p w:rsidR="000F5C21" w:rsidRPr="00E67094" w:rsidRDefault="000F5C21" w:rsidP="000F5C21">
            <w:pPr>
              <w:rPr>
                <w:color w:val="262626"/>
                <w:sz w:val="20"/>
              </w:rPr>
            </w:pPr>
          </w:p>
        </w:tc>
      </w:tr>
    </w:tbl>
    <w:p w:rsidR="000F5C21" w:rsidRDefault="000F5C21" w:rsidP="000F5C21">
      <w:pPr>
        <w:rPr>
          <w:color w:val="262626"/>
          <w:sz w:val="20"/>
        </w:rPr>
      </w:pPr>
    </w:p>
    <w:p w:rsidR="000F5C21" w:rsidRPr="007F6948" w:rsidRDefault="000F5C21" w:rsidP="000F5C21">
      <w:pPr>
        <w:jc w:val="left"/>
        <w:rPr>
          <w:rFonts w:ascii="Calibri" w:hAnsi="Calibri" w:cs="Calibri"/>
          <w:sz w:val="20"/>
        </w:rPr>
      </w:pPr>
      <w:r>
        <w:rPr>
          <w:noProof/>
          <w:color w:val="262626"/>
          <w:sz w:val="20"/>
        </w:rPr>
        <w:tab/>
      </w:r>
      <w:r>
        <w:rPr>
          <w:noProof/>
          <w:color w:val="262626"/>
          <w:sz w:val="20"/>
        </w:rPr>
        <w:tab/>
      </w:r>
      <w:r>
        <w:rPr>
          <w:noProof/>
          <w:color w:val="262626"/>
          <w:sz w:val="20"/>
        </w:rPr>
        <w:tab/>
      </w:r>
      <w:r>
        <w:rPr>
          <w:noProof/>
          <w:color w:val="262626"/>
          <w:sz w:val="20"/>
        </w:rPr>
        <w:tab/>
        <w:t xml:space="preserve">              </w:t>
      </w:r>
    </w:p>
    <w:p w:rsidR="00D04E7F" w:rsidRDefault="00D04E7F" w:rsidP="006B7646">
      <w:pPr>
        <w:pStyle w:val="Naslov1"/>
        <w:numPr>
          <w:ilvl w:val="0"/>
          <w:numId w:val="0"/>
        </w:numPr>
        <w:rPr>
          <w:sz w:val="32"/>
        </w:rPr>
      </w:pPr>
    </w:p>
    <w:p w:rsidR="0071351D" w:rsidRDefault="0071351D" w:rsidP="0071351D"/>
    <w:p w:rsidR="0071351D" w:rsidRDefault="0071351D" w:rsidP="0071351D"/>
    <w:p w:rsidR="0071351D" w:rsidRDefault="0071351D" w:rsidP="006B7646">
      <w:pPr>
        <w:pStyle w:val="Naslov1"/>
        <w:numPr>
          <w:ilvl w:val="0"/>
          <w:numId w:val="0"/>
        </w:numPr>
        <w:rPr>
          <w:rStyle w:val="TelobesedilaZnak"/>
        </w:rPr>
      </w:pPr>
    </w:p>
    <w:p w:rsidR="0071351D" w:rsidRDefault="0071351D" w:rsidP="006B7646">
      <w:pPr>
        <w:pStyle w:val="Naslov1"/>
        <w:numPr>
          <w:ilvl w:val="0"/>
          <w:numId w:val="0"/>
        </w:numPr>
        <w:rPr>
          <w:rStyle w:val="TelobesedilaZnak"/>
        </w:rPr>
      </w:pPr>
    </w:p>
    <w:p w:rsidR="0071351D" w:rsidRDefault="0071351D" w:rsidP="006B7646">
      <w:pPr>
        <w:pStyle w:val="Naslov1"/>
        <w:numPr>
          <w:ilvl w:val="0"/>
          <w:numId w:val="0"/>
        </w:numPr>
        <w:rPr>
          <w:rStyle w:val="TelobesedilaZnak"/>
        </w:rPr>
      </w:pPr>
    </w:p>
    <w:p w:rsidR="007C5E9A" w:rsidRPr="003A36BA" w:rsidRDefault="001B0809" w:rsidP="00DF27AC">
      <w:pPr>
        <w:pStyle w:val="Naslov1"/>
        <w:numPr>
          <w:ilvl w:val="0"/>
          <w:numId w:val="0"/>
        </w:numPr>
        <w:spacing w:before="0"/>
        <w:jc w:val="center"/>
        <w:rPr>
          <w:rStyle w:val="TelobesedilaZnak"/>
          <w:sz w:val="44"/>
          <w:szCs w:val="44"/>
        </w:rPr>
      </w:pPr>
      <w:r w:rsidRPr="003A36BA">
        <w:rPr>
          <w:rStyle w:val="TelobesedilaZnak"/>
          <w:sz w:val="44"/>
          <w:szCs w:val="44"/>
        </w:rPr>
        <w:t xml:space="preserve">METODOLOŠKA IZHODIŠČA IN </w:t>
      </w:r>
      <w:r w:rsidR="007C5E9A" w:rsidRPr="003A36BA">
        <w:rPr>
          <w:rStyle w:val="TelobesedilaZnak"/>
          <w:sz w:val="44"/>
          <w:szCs w:val="44"/>
        </w:rPr>
        <w:t xml:space="preserve">POJASNILA </w:t>
      </w:r>
      <w:r w:rsidRPr="003A36BA">
        <w:rPr>
          <w:rStyle w:val="TelobesedilaZnak"/>
          <w:sz w:val="44"/>
          <w:szCs w:val="44"/>
        </w:rPr>
        <w:t>K MODELNIM KALKULACIJAM</w:t>
      </w:r>
    </w:p>
    <w:p w:rsidR="00885A54" w:rsidRPr="003A36BA" w:rsidRDefault="00885A54" w:rsidP="007C5E9A">
      <w:pPr>
        <w:rPr>
          <w:rFonts w:ascii="Verdana" w:hAnsi="Verdana"/>
        </w:rPr>
      </w:pPr>
    </w:p>
    <w:p w:rsidR="0071351D" w:rsidRDefault="0071351D" w:rsidP="007C5E9A">
      <w:pPr>
        <w:rPr>
          <w:rFonts w:ascii="Verdana" w:hAnsi="Verdana"/>
        </w:rPr>
      </w:pPr>
    </w:p>
    <w:p w:rsidR="007413DD" w:rsidRPr="003A36BA" w:rsidRDefault="007413DD" w:rsidP="007C5E9A">
      <w:pPr>
        <w:rPr>
          <w:rFonts w:ascii="Verdana" w:hAnsi="Verdana"/>
        </w:rPr>
      </w:pPr>
    </w:p>
    <w:p w:rsidR="0071351D" w:rsidRPr="003A36BA" w:rsidRDefault="0071351D" w:rsidP="007C5E9A">
      <w:pPr>
        <w:rPr>
          <w:rFonts w:ascii="Verdana" w:hAnsi="Verdana"/>
        </w:rPr>
      </w:pPr>
    </w:p>
    <w:p w:rsidR="0071351D" w:rsidRPr="003A36BA" w:rsidRDefault="0071351D" w:rsidP="007C5E9A">
      <w:pPr>
        <w:rPr>
          <w:rFonts w:ascii="Verdana" w:hAnsi="Verdana"/>
        </w:rPr>
      </w:pPr>
    </w:p>
    <w:p w:rsidR="0071351D" w:rsidRDefault="0071351D" w:rsidP="007C5E9A">
      <w:pPr>
        <w:rPr>
          <w:rFonts w:ascii="Verdana" w:hAnsi="Verdana"/>
        </w:rPr>
      </w:pPr>
    </w:p>
    <w:p w:rsidR="004E0419" w:rsidRDefault="004E0419" w:rsidP="007C5E9A">
      <w:pPr>
        <w:rPr>
          <w:rFonts w:ascii="Verdana" w:hAnsi="Verdana"/>
        </w:rPr>
      </w:pPr>
    </w:p>
    <w:p w:rsidR="00D2236E" w:rsidRDefault="00D2236E" w:rsidP="007C5E9A">
      <w:pPr>
        <w:rPr>
          <w:rFonts w:ascii="Verdana" w:hAnsi="Verdana"/>
        </w:rPr>
      </w:pPr>
    </w:p>
    <w:p w:rsidR="00D2236E" w:rsidRDefault="00D2236E" w:rsidP="007C5E9A">
      <w:pPr>
        <w:rPr>
          <w:rFonts w:ascii="Verdana" w:hAnsi="Verdana"/>
        </w:rPr>
      </w:pPr>
    </w:p>
    <w:p w:rsidR="00D2236E" w:rsidRDefault="00D2236E" w:rsidP="007C5E9A">
      <w:pPr>
        <w:rPr>
          <w:rFonts w:ascii="Verdana" w:hAnsi="Verdana"/>
        </w:rPr>
      </w:pPr>
    </w:p>
    <w:p w:rsidR="00D2236E" w:rsidRDefault="00D2236E" w:rsidP="007C5E9A">
      <w:pPr>
        <w:rPr>
          <w:rFonts w:ascii="Verdana" w:hAnsi="Verdana"/>
        </w:rPr>
      </w:pPr>
    </w:p>
    <w:p w:rsidR="00D2236E" w:rsidRDefault="00D2236E" w:rsidP="007C5E9A">
      <w:pPr>
        <w:rPr>
          <w:rFonts w:ascii="Verdana" w:hAnsi="Verdana"/>
        </w:rPr>
      </w:pPr>
    </w:p>
    <w:p w:rsidR="004E0419" w:rsidRDefault="004E0419" w:rsidP="007C5E9A">
      <w:pPr>
        <w:rPr>
          <w:rFonts w:ascii="Verdana" w:hAnsi="Verdana"/>
        </w:rPr>
      </w:pPr>
    </w:p>
    <w:p w:rsidR="004E0419" w:rsidRPr="003A36BA" w:rsidRDefault="004E0419" w:rsidP="007C5E9A">
      <w:pPr>
        <w:rPr>
          <w:rFonts w:ascii="Verdana" w:hAnsi="Verdana"/>
        </w:rPr>
      </w:pPr>
    </w:p>
    <w:p w:rsidR="0071351D" w:rsidRPr="003A36BA" w:rsidRDefault="0071351D" w:rsidP="007C5E9A">
      <w:pPr>
        <w:rPr>
          <w:rFonts w:ascii="Verdana" w:hAnsi="Verdana"/>
        </w:rPr>
      </w:pPr>
    </w:p>
    <w:p w:rsidR="0071351D" w:rsidRPr="004E0419" w:rsidRDefault="004E0419" w:rsidP="004E0419">
      <w:pPr>
        <w:jc w:val="center"/>
        <w:rPr>
          <w:rFonts w:ascii="Verdana" w:hAnsi="Verdana"/>
          <w:sz w:val="32"/>
          <w:szCs w:val="32"/>
        </w:rPr>
      </w:pPr>
      <w:r w:rsidRPr="004E0419">
        <w:rPr>
          <w:rFonts w:ascii="Verdana" w:hAnsi="Verdana"/>
          <w:sz w:val="32"/>
          <w:szCs w:val="32"/>
        </w:rPr>
        <w:t xml:space="preserve">Barbara </w:t>
      </w:r>
      <w:r w:rsidRPr="004F6FB9">
        <w:rPr>
          <w:rFonts w:ascii="Verdana" w:hAnsi="Verdana"/>
          <w:sz w:val="28"/>
          <w:szCs w:val="28"/>
        </w:rPr>
        <w:t>Zagorc</w:t>
      </w:r>
      <w:r w:rsidR="00024B3D">
        <w:rPr>
          <w:rFonts w:ascii="Verdana" w:hAnsi="Verdana"/>
          <w:sz w:val="28"/>
          <w:szCs w:val="28"/>
        </w:rPr>
        <w:t xml:space="preserve">, </w:t>
      </w:r>
      <w:r w:rsidRPr="004E0419">
        <w:rPr>
          <w:rFonts w:ascii="Verdana" w:hAnsi="Verdana"/>
          <w:sz w:val="32"/>
          <w:szCs w:val="32"/>
        </w:rPr>
        <w:t>Ben Moljk</w:t>
      </w:r>
      <w:r w:rsidR="00024B3D">
        <w:rPr>
          <w:rFonts w:ascii="Verdana" w:hAnsi="Verdana"/>
          <w:sz w:val="32"/>
          <w:szCs w:val="32"/>
        </w:rPr>
        <w:t xml:space="preserve"> in Miroslav Rednak</w:t>
      </w:r>
    </w:p>
    <w:p w:rsidR="00536E54" w:rsidRPr="003A36BA" w:rsidRDefault="00536E54" w:rsidP="007C5E9A">
      <w:pPr>
        <w:rPr>
          <w:rFonts w:ascii="Verdana" w:hAnsi="Verdana"/>
        </w:rPr>
      </w:pPr>
    </w:p>
    <w:p w:rsidR="0071351D" w:rsidRPr="003A36BA" w:rsidRDefault="0071351D" w:rsidP="007C5E9A">
      <w:pPr>
        <w:rPr>
          <w:rFonts w:ascii="Verdana" w:hAnsi="Verdana"/>
        </w:rPr>
      </w:pPr>
    </w:p>
    <w:p w:rsidR="0071351D" w:rsidRPr="003A36BA" w:rsidRDefault="0071351D" w:rsidP="007C5E9A">
      <w:pPr>
        <w:rPr>
          <w:rFonts w:ascii="Verdana" w:hAnsi="Verdana"/>
        </w:rPr>
      </w:pPr>
    </w:p>
    <w:p w:rsidR="0071351D" w:rsidRPr="003A36BA" w:rsidRDefault="0071351D" w:rsidP="007C5E9A">
      <w:pPr>
        <w:rPr>
          <w:rFonts w:ascii="Verdana" w:hAnsi="Verdana"/>
        </w:rPr>
      </w:pPr>
    </w:p>
    <w:p w:rsidR="0071351D" w:rsidRPr="003A36BA" w:rsidRDefault="0071351D" w:rsidP="007C5E9A">
      <w:pPr>
        <w:rPr>
          <w:rFonts w:ascii="Verdana" w:hAnsi="Verdana"/>
        </w:rPr>
      </w:pPr>
    </w:p>
    <w:p w:rsidR="0071351D" w:rsidRPr="003A36BA" w:rsidRDefault="0071351D" w:rsidP="007C5E9A">
      <w:pPr>
        <w:rPr>
          <w:rFonts w:ascii="Verdana" w:hAnsi="Verdana"/>
        </w:rPr>
      </w:pPr>
    </w:p>
    <w:p w:rsidR="004F6FB9" w:rsidRDefault="0071351D" w:rsidP="004F6FB9">
      <w:pPr>
        <w:jc w:val="center"/>
        <w:rPr>
          <w:rFonts w:ascii="Verdana" w:hAnsi="Verdana"/>
          <w:b/>
          <w:sz w:val="24"/>
          <w:szCs w:val="24"/>
        </w:rPr>
      </w:pPr>
      <w:r w:rsidRPr="004F6FB9">
        <w:rPr>
          <w:rFonts w:ascii="Verdana" w:hAnsi="Verdana"/>
          <w:b/>
          <w:sz w:val="24"/>
          <w:szCs w:val="24"/>
        </w:rPr>
        <w:t xml:space="preserve">Ljubljana, </w:t>
      </w:r>
      <w:r w:rsidR="00BA63E4">
        <w:rPr>
          <w:rFonts w:ascii="Verdana" w:hAnsi="Verdana"/>
          <w:b/>
          <w:sz w:val="24"/>
          <w:szCs w:val="24"/>
        </w:rPr>
        <w:t xml:space="preserve">februar </w:t>
      </w:r>
      <w:r w:rsidRPr="004F6FB9">
        <w:rPr>
          <w:rFonts w:ascii="Verdana" w:hAnsi="Verdana"/>
          <w:b/>
          <w:sz w:val="24"/>
          <w:szCs w:val="24"/>
        </w:rPr>
        <w:t>201</w:t>
      </w:r>
      <w:r w:rsidR="00BA63E4">
        <w:rPr>
          <w:rFonts w:ascii="Verdana" w:hAnsi="Verdana"/>
          <w:b/>
          <w:sz w:val="24"/>
          <w:szCs w:val="24"/>
        </w:rPr>
        <w:t>7</w:t>
      </w:r>
    </w:p>
    <w:p w:rsidR="004F6FB9" w:rsidRDefault="004F6FB9">
      <w:pPr>
        <w:jc w:val="left"/>
        <w:rPr>
          <w:rFonts w:ascii="Verdana" w:hAnsi="Verdana"/>
          <w:b/>
          <w:sz w:val="24"/>
          <w:szCs w:val="24"/>
        </w:rPr>
      </w:pPr>
      <w:r>
        <w:rPr>
          <w:rFonts w:ascii="Verdana" w:hAnsi="Verdana"/>
          <w:b/>
          <w:sz w:val="24"/>
          <w:szCs w:val="24"/>
        </w:rPr>
        <w:br w:type="page"/>
      </w:r>
    </w:p>
    <w:p w:rsidR="004F6FB9" w:rsidRDefault="004F6FB9" w:rsidP="004F6FB9">
      <w:pPr>
        <w:spacing w:line="360" w:lineRule="auto"/>
        <w:rPr>
          <w:rFonts w:ascii="Verdana" w:hAnsi="Verdana" w:cs="Arial"/>
          <w:szCs w:val="24"/>
        </w:rPr>
      </w:pPr>
      <w:r w:rsidRPr="001156ED">
        <w:rPr>
          <w:rFonts w:ascii="Verdana" w:hAnsi="Verdana" w:cs="Arial"/>
          <w:szCs w:val="24"/>
        </w:rPr>
        <w:lastRenderedPageBreak/>
        <w:t>Metodološka izhodišča in pojasnila k modelnim kalkulacijam je pripravil Kmetijski inštitut Slovenije v okviru naloge z naslovom Spremljanje razvoja kmetijstva v Sloveniji, ki jo financira Ministrstvo za kmetijstvo, gozdarstvo in prehrano</w:t>
      </w:r>
    </w:p>
    <w:p w:rsidR="004F6FB9" w:rsidRDefault="004F6FB9" w:rsidP="004F6FB9">
      <w:pPr>
        <w:spacing w:line="360" w:lineRule="auto"/>
        <w:rPr>
          <w:rFonts w:ascii="Verdana" w:hAnsi="Verdana" w:cs="Arial"/>
          <w:bCs/>
          <w:szCs w:val="24"/>
        </w:rPr>
      </w:pPr>
    </w:p>
    <w:p w:rsidR="00D2236E" w:rsidRDefault="00D2236E" w:rsidP="004F6FB9">
      <w:pPr>
        <w:spacing w:line="360" w:lineRule="auto"/>
        <w:rPr>
          <w:rFonts w:ascii="Verdana" w:hAnsi="Verdana" w:cs="Arial"/>
          <w:bCs/>
          <w:szCs w:val="24"/>
        </w:rPr>
      </w:pPr>
    </w:p>
    <w:p w:rsidR="00D2236E" w:rsidRDefault="00D2236E" w:rsidP="004F6FB9">
      <w:pPr>
        <w:spacing w:line="360" w:lineRule="auto"/>
        <w:rPr>
          <w:rFonts w:ascii="Verdana" w:hAnsi="Verdana" w:cs="Arial"/>
          <w:bCs/>
          <w:szCs w:val="24"/>
        </w:rPr>
      </w:pPr>
    </w:p>
    <w:p w:rsidR="00D2236E" w:rsidRPr="004F6FB9" w:rsidRDefault="00D2236E" w:rsidP="004F6FB9">
      <w:pPr>
        <w:spacing w:line="360" w:lineRule="auto"/>
        <w:rPr>
          <w:rFonts w:ascii="Verdana" w:hAnsi="Verdana" w:cs="Arial"/>
          <w:bCs/>
          <w:szCs w:val="24"/>
        </w:rPr>
      </w:pPr>
    </w:p>
    <w:p w:rsidR="004F6FB9" w:rsidRPr="004F6FB9" w:rsidRDefault="004F6FB9" w:rsidP="004F6FB9">
      <w:pPr>
        <w:spacing w:line="360" w:lineRule="auto"/>
        <w:rPr>
          <w:rFonts w:ascii="Verdana" w:hAnsi="Verdana" w:cs="Arial"/>
          <w:bCs/>
          <w:sz w:val="20"/>
        </w:rPr>
      </w:pPr>
      <w:r w:rsidRPr="004F6FB9">
        <w:rPr>
          <w:rFonts w:ascii="Verdana" w:hAnsi="Verdana" w:cs="Arial"/>
          <w:bCs/>
          <w:sz w:val="20"/>
        </w:rPr>
        <w:t>Kmetijski inštitut Slovenije</w:t>
      </w:r>
    </w:p>
    <w:p w:rsidR="004F6FB9" w:rsidRPr="004F6FB9" w:rsidRDefault="004F6FB9" w:rsidP="004F6FB9">
      <w:pPr>
        <w:tabs>
          <w:tab w:val="left" w:pos="9356"/>
        </w:tabs>
        <w:spacing w:line="360" w:lineRule="auto"/>
        <w:rPr>
          <w:rFonts w:ascii="Verdana" w:hAnsi="Verdana" w:cs="Arial"/>
          <w:sz w:val="20"/>
        </w:rPr>
      </w:pPr>
      <w:r w:rsidRPr="004F6FB9">
        <w:rPr>
          <w:rFonts w:ascii="Verdana" w:hAnsi="Verdana" w:cs="Arial"/>
          <w:sz w:val="20"/>
        </w:rPr>
        <w:t>Hacquetova ulica 17</w:t>
      </w:r>
    </w:p>
    <w:p w:rsidR="004F6FB9" w:rsidRPr="004F6FB9" w:rsidRDefault="004F6FB9" w:rsidP="004F6FB9">
      <w:pPr>
        <w:tabs>
          <w:tab w:val="left" w:pos="9356"/>
        </w:tabs>
        <w:spacing w:line="360" w:lineRule="auto"/>
        <w:rPr>
          <w:rFonts w:ascii="Verdana" w:hAnsi="Verdana" w:cs="Arial"/>
          <w:sz w:val="20"/>
        </w:rPr>
      </w:pPr>
      <w:r w:rsidRPr="004F6FB9">
        <w:rPr>
          <w:rFonts w:ascii="Verdana" w:hAnsi="Verdana" w:cs="Arial"/>
          <w:sz w:val="20"/>
        </w:rPr>
        <w:t>SI-1000 Ljubljana</w:t>
      </w:r>
    </w:p>
    <w:p w:rsidR="004F6FB9" w:rsidRPr="004F6FB9" w:rsidRDefault="004F6FB9" w:rsidP="004F6FB9">
      <w:pPr>
        <w:tabs>
          <w:tab w:val="left" w:pos="9356"/>
        </w:tabs>
        <w:spacing w:line="360" w:lineRule="auto"/>
        <w:rPr>
          <w:rFonts w:ascii="Verdana" w:hAnsi="Verdana" w:cs="Arial"/>
          <w:sz w:val="20"/>
        </w:rPr>
      </w:pPr>
      <w:r w:rsidRPr="004F6FB9">
        <w:rPr>
          <w:rFonts w:ascii="Verdana" w:hAnsi="Verdana" w:cs="Arial"/>
          <w:sz w:val="20"/>
        </w:rPr>
        <w:t xml:space="preserve">Tel.: 01 280 52 62 </w:t>
      </w:r>
    </w:p>
    <w:p w:rsidR="004F6FB9" w:rsidRPr="004F6FB9" w:rsidRDefault="004F6FB9" w:rsidP="004F6FB9">
      <w:pPr>
        <w:tabs>
          <w:tab w:val="left" w:pos="9356"/>
        </w:tabs>
        <w:spacing w:line="360" w:lineRule="auto"/>
        <w:rPr>
          <w:rFonts w:ascii="Verdana" w:hAnsi="Verdana" w:cs="Arial"/>
          <w:sz w:val="20"/>
        </w:rPr>
      </w:pPr>
      <w:r w:rsidRPr="004F6FB9">
        <w:rPr>
          <w:rFonts w:ascii="Verdana" w:hAnsi="Verdana" w:cs="Arial"/>
          <w:sz w:val="20"/>
        </w:rPr>
        <w:t>Faks: 01 280 52 55</w:t>
      </w:r>
    </w:p>
    <w:p w:rsidR="008758A0" w:rsidRDefault="001D561F" w:rsidP="004F6FB9">
      <w:pPr>
        <w:tabs>
          <w:tab w:val="left" w:pos="9356"/>
        </w:tabs>
        <w:spacing w:line="360" w:lineRule="auto"/>
        <w:rPr>
          <w:rStyle w:val="Hiperpovezava"/>
          <w:rFonts w:ascii="Verdana" w:hAnsi="Verdana" w:cs="Arial"/>
          <w:color w:val="auto"/>
          <w:sz w:val="20"/>
          <w:u w:val="none"/>
        </w:rPr>
      </w:pPr>
      <w:hyperlink r:id="rId10" w:history="1">
        <w:r w:rsidR="004F6FB9" w:rsidRPr="004F6FB9">
          <w:rPr>
            <w:rStyle w:val="Hiperpovezava"/>
            <w:rFonts w:ascii="Verdana" w:hAnsi="Verdana" w:cs="Arial"/>
            <w:sz w:val="20"/>
          </w:rPr>
          <w:t>www.kis.si</w:t>
        </w:r>
      </w:hyperlink>
    </w:p>
    <w:p w:rsidR="008758A0" w:rsidRDefault="008758A0" w:rsidP="004F6FB9">
      <w:pPr>
        <w:tabs>
          <w:tab w:val="left" w:pos="9356"/>
        </w:tabs>
        <w:spacing w:line="360" w:lineRule="auto"/>
        <w:rPr>
          <w:rStyle w:val="Hiperpovezava"/>
          <w:rFonts w:ascii="Verdana" w:hAnsi="Verdana" w:cs="Arial"/>
          <w:color w:val="auto"/>
          <w:sz w:val="20"/>
          <w:u w:val="none"/>
        </w:rPr>
      </w:pPr>
    </w:p>
    <w:p w:rsidR="008758A0" w:rsidRDefault="008758A0" w:rsidP="004F6FB9">
      <w:pPr>
        <w:tabs>
          <w:tab w:val="left" w:pos="9356"/>
        </w:tabs>
        <w:spacing w:line="360" w:lineRule="auto"/>
        <w:rPr>
          <w:rStyle w:val="Hiperpovezava"/>
          <w:rFonts w:ascii="Verdana" w:hAnsi="Verdana" w:cs="Arial"/>
          <w:color w:val="auto"/>
          <w:sz w:val="20"/>
          <w:u w:val="none"/>
        </w:rPr>
        <w:sectPr w:rsidR="008758A0" w:rsidSect="00361387">
          <w:footerReference w:type="even" r:id="rId11"/>
          <w:footerReference w:type="default" r:id="rId12"/>
          <w:pgSz w:w="11906" w:h="16838"/>
          <w:pgMar w:top="1417" w:right="1417" w:bottom="1417" w:left="1417" w:header="708" w:footer="708" w:gutter="0"/>
          <w:cols w:space="708"/>
          <w:titlePg/>
          <w:docGrid w:linePitch="360"/>
        </w:sectPr>
      </w:pPr>
    </w:p>
    <w:p w:rsidR="004F6FB9" w:rsidRPr="004F6FB9" w:rsidRDefault="004F6FB9" w:rsidP="004F6FB9">
      <w:pPr>
        <w:tabs>
          <w:tab w:val="left" w:pos="9356"/>
        </w:tabs>
        <w:spacing w:line="360" w:lineRule="auto"/>
        <w:rPr>
          <w:rFonts w:ascii="Verdana" w:hAnsi="Verdana" w:cs="Arial"/>
          <w:sz w:val="20"/>
        </w:rPr>
      </w:pPr>
    </w:p>
    <w:p w:rsidR="0071351D" w:rsidRPr="00DF27AC" w:rsidRDefault="0071351D" w:rsidP="00DF27AC">
      <w:pPr>
        <w:pStyle w:val="Naslov1"/>
        <w:rPr>
          <w:rStyle w:val="TelobesedilaZnak"/>
        </w:rPr>
      </w:pPr>
      <w:r w:rsidRPr="00DF27AC">
        <w:rPr>
          <w:rStyle w:val="TelobesedilaZnak"/>
        </w:rPr>
        <w:t>SPLOŠNA METODOLOŠKA IZHODIŠČA IN POJASNILA K MODELNIM KALKULACIJAM</w:t>
      </w:r>
    </w:p>
    <w:p w:rsidR="002E5AA8" w:rsidRDefault="007C5E9A" w:rsidP="00837441">
      <w:pPr>
        <w:pStyle w:val="Telobesedila"/>
        <w:spacing w:after="240"/>
      </w:pPr>
      <w:r w:rsidRPr="00365846">
        <w:t>Kalkulacije</w:t>
      </w:r>
      <w:r w:rsidR="009D3FBA" w:rsidRPr="00365846">
        <w:t>,</w:t>
      </w:r>
      <w:r w:rsidRPr="00365846">
        <w:t xml:space="preserve"> predstavljene na tem mestu</w:t>
      </w:r>
      <w:r w:rsidR="009D3FBA" w:rsidRPr="00365846">
        <w:t>,</w:t>
      </w:r>
      <w:r w:rsidRPr="00365846">
        <w:t xml:space="preserve"> so namenjene oceni sprememb stroškov</w:t>
      </w:r>
      <w:r w:rsidR="00695B21">
        <w:t>, ki so rezultat</w:t>
      </w:r>
      <w:r w:rsidR="002B43CC" w:rsidRPr="00B02BBB">
        <w:t xml:space="preserve"> sprememb cen in proračunskih podpor. Kalkulacije so zato izdelane ob predpostavki enakih količinskih </w:t>
      </w:r>
      <w:proofErr w:type="spellStart"/>
      <w:r w:rsidR="002B43CC" w:rsidRPr="00B02BBB">
        <w:t>potrošk</w:t>
      </w:r>
      <w:r w:rsidR="009D3FBA" w:rsidRPr="00B02BBB">
        <w:t>ov</w:t>
      </w:r>
      <w:proofErr w:type="spellEnd"/>
      <w:r w:rsidR="002B43CC" w:rsidRPr="00B02BBB">
        <w:t xml:space="preserve"> v celotnem </w:t>
      </w:r>
      <w:r w:rsidR="00515E66" w:rsidRPr="00B02BBB">
        <w:t xml:space="preserve">opazovanem </w:t>
      </w:r>
      <w:r w:rsidR="002B43CC" w:rsidRPr="00B02BBB">
        <w:t>časovnem obdobju.</w:t>
      </w:r>
      <w:r w:rsidR="008B7E98" w:rsidRPr="00B02BBB">
        <w:t xml:space="preserve"> </w:t>
      </w:r>
      <w:r w:rsidR="002B43CC" w:rsidRPr="00B02BBB">
        <w:t>Tehnološki napredek ni upoštevan, v času ostajajo osnovni tehnološki parametri nespremenjeni.</w:t>
      </w:r>
      <w:r w:rsidR="008B7E98" w:rsidRPr="00B02BBB">
        <w:t xml:space="preserve"> </w:t>
      </w:r>
      <w:r w:rsidR="00695B21" w:rsidRPr="00B02BBB">
        <w:t>Opredeljeni so bili glede na stanje v obdobju, ki ustreza baznemu letu za izračun indeksov stroškov (20</w:t>
      </w:r>
      <w:r w:rsidR="008B198E">
        <w:t>1</w:t>
      </w:r>
      <w:r w:rsidR="00695B21" w:rsidRPr="00B02BBB">
        <w:t>0).</w:t>
      </w:r>
    </w:p>
    <w:p w:rsidR="00DD6A94" w:rsidRDefault="008B7E98" w:rsidP="007E60D6">
      <w:pPr>
        <w:pStyle w:val="Naslov2"/>
      </w:pPr>
      <w:r w:rsidRPr="009B66FE">
        <w:t>Osnovna izhodišča</w:t>
      </w:r>
    </w:p>
    <w:p w:rsidR="007C5E9A" w:rsidRPr="00B02BBB" w:rsidRDefault="00DD6A94" w:rsidP="00B02BBB">
      <w:pPr>
        <w:pStyle w:val="Telobesedila"/>
        <w:spacing w:after="60"/>
      </w:pPr>
      <w:r>
        <w:t xml:space="preserve">Osnovna izhodišča </w:t>
      </w:r>
      <w:r w:rsidR="008B7E98" w:rsidRPr="00B02BBB">
        <w:t>pri oblikovanju modelov so bila naslednja:</w:t>
      </w:r>
    </w:p>
    <w:p w:rsidR="00605D52" w:rsidRPr="00365846" w:rsidRDefault="008B7E98" w:rsidP="00B02BBB">
      <w:pPr>
        <w:numPr>
          <w:ilvl w:val="0"/>
          <w:numId w:val="12"/>
        </w:numPr>
        <w:spacing w:after="60"/>
        <w:ind w:left="357" w:hanging="357"/>
        <w:rPr>
          <w:rStyle w:val="TelobesedilaZnak"/>
          <w:szCs w:val="22"/>
        </w:rPr>
      </w:pPr>
      <w:r w:rsidRPr="00365846">
        <w:rPr>
          <w:rFonts w:ascii="Verdana" w:hAnsi="Verdana"/>
          <w:szCs w:val="22"/>
        </w:rPr>
        <w:t>Splošna raven produktivnosti je opredeljena z velikostjo obrata.</w:t>
      </w:r>
      <w:r w:rsidRPr="00365846">
        <w:rPr>
          <w:rStyle w:val="TelobesedilaZnak"/>
          <w:szCs w:val="22"/>
        </w:rPr>
        <w:t xml:space="preserve"> Predpostavljena velikost in tip kmetijskega obrata je pri različnih pridelkih različen, osnovni kriterij pri teh opredeli</w:t>
      </w:r>
      <w:r w:rsidR="00605D52" w:rsidRPr="00365846">
        <w:rPr>
          <w:rStyle w:val="TelobesedilaZnak"/>
          <w:szCs w:val="22"/>
        </w:rPr>
        <w:t>t</w:t>
      </w:r>
      <w:r w:rsidRPr="00365846">
        <w:rPr>
          <w:rStyle w:val="TelobesedilaZnak"/>
          <w:szCs w:val="22"/>
        </w:rPr>
        <w:t>vah pa je bil, da obrat zagotavlja polno zaposlenost</w:t>
      </w:r>
      <w:r w:rsidR="00605D52" w:rsidRPr="00365846">
        <w:rPr>
          <w:rStyle w:val="TelobesedilaZnak"/>
          <w:szCs w:val="22"/>
        </w:rPr>
        <w:t xml:space="preserve"> za</w:t>
      </w:r>
      <w:r w:rsidRPr="00365846">
        <w:rPr>
          <w:rStyle w:val="TelobesedilaZnak"/>
          <w:szCs w:val="22"/>
        </w:rPr>
        <w:t xml:space="preserve"> približno en</w:t>
      </w:r>
      <w:r w:rsidR="00605D52" w:rsidRPr="00365846">
        <w:rPr>
          <w:rStyle w:val="TelobesedilaZnak"/>
          <w:szCs w:val="22"/>
        </w:rPr>
        <w:t>o delovno m</w:t>
      </w:r>
      <w:r w:rsidR="00515E66" w:rsidRPr="00365846">
        <w:rPr>
          <w:rStyle w:val="TelobesedilaZnak"/>
          <w:szCs w:val="22"/>
        </w:rPr>
        <w:t>oč</w:t>
      </w:r>
      <w:r w:rsidR="00605D52" w:rsidRPr="00365846">
        <w:rPr>
          <w:rStyle w:val="TelobesedilaZnak"/>
          <w:szCs w:val="22"/>
        </w:rPr>
        <w:t>.</w:t>
      </w:r>
    </w:p>
    <w:p w:rsidR="00605D52" w:rsidRPr="00365846" w:rsidRDefault="00605D52" w:rsidP="00B02BBB">
      <w:pPr>
        <w:numPr>
          <w:ilvl w:val="0"/>
          <w:numId w:val="12"/>
        </w:numPr>
        <w:spacing w:after="60"/>
        <w:ind w:left="357" w:hanging="357"/>
        <w:rPr>
          <w:rFonts w:ascii="Verdana" w:hAnsi="Verdana"/>
        </w:rPr>
      </w:pPr>
      <w:r w:rsidRPr="00365846">
        <w:rPr>
          <w:rFonts w:ascii="Verdana" w:hAnsi="Verdana"/>
        </w:rPr>
        <w:t>Stroški dela (skupaj z obveznostmi) in kapitala so obračunani kot oportunitetni stroški na ravni neto dodane vrednosti, primerljive z drugimi gospodarskimi dejavnostmi v Sloveniji.</w:t>
      </w:r>
    </w:p>
    <w:p w:rsidR="00605D52" w:rsidRPr="00365846" w:rsidRDefault="00605D52" w:rsidP="00605D52">
      <w:pPr>
        <w:numPr>
          <w:ilvl w:val="0"/>
          <w:numId w:val="12"/>
        </w:numPr>
        <w:rPr>
          <w:rFonts w:ascii="Verdana" w:hAnsi="Verdana"/>
        </w:rPr>
      </w:pPr>
      <w:r w:rsidRPr="00365846">
        <w:rPr>
          <w:rFonts w:ascii="Verdana" w:hAnsi="Verdana"/>
        </w:rPr>
        <w:t>Strošek dela je obračunan na ravni povprečne neto plače zaposlenih v Sloveniji ob hkratnem upoštevanju vseh tistih stroškov, ki zagotavljajo enako socialno varnost in pravice iz dela, kot jih imajo drugi delavci. Ti stroški (obveznosti) vključujejo:</w:t>
      </w:r>
    </w:p>
    <w:p w:rsidR="00605D52" w:rsidRPr="00365846" w:rsidRDefault="00605D52" w:rsidP="00605D52">
      <w:pPr>
        <w:numPr>
          <w:ilvl w:val="1"/>
          <w:numId w:val="12"/>
        </w:numPr>
        <w:rPr>
          <w:rFonts w:ascii="Verdana" w:hAnsi="Verdana"/>
        </w:rPr>
      </w:pPr>
      <w:r w:rsidRPr="00365846">
        <w:rPr>
          <w:rFonts w:ascii="Verdana" w:hAnsi="Verdana"/>
        </w:rPr>
        <w:t>prispevek za pokojninsko in invalidsko zavarovanje (osnova bruto plača zaposlenih v Sloveniji),</w:t>
      </w:r>
    </w:p>
    <w:p w:rsidR="00605D52" w:rsidRPr="00365846" w:rsidRDefault="00605D52" w:rsidP="00605D52">
      <w:pPr>
        <w:numPr>
          <w:ilvl w:val="1"/>
          <w:numId w:val="12"/>
        </w:numPr>
        <w:rPr>
          <w:rFonts w:ascii="Verdana" w:hAnsi="Verdana"/>
        </w:rPr>
      </w:pPr>
      <w:r w:rsidRPr="00365846">
        <w:rPr>
          <w:rFonts w:ascii="Verdana" w:hAnsi="Verdana"/>
        </w:rPr>
        <w:t>prispevek za zdravstveno zavarovanje (osnova katastrski dohodek in bruto plača zaposlenih v Sloveniji),</w:t>
      </w:r>
    </w:p>
    <w:p w:rsidR="00605D52" w:rsidRPr="00365846" w:rsidRDefault="00605D52" w:rsidP="00605D52">
      <w:pPr>
        <w:numPr>
          <w:ilvl w:val="1"/>
          <w:numId w:val="12"/>
        </w:numPr>
        <w:rPr>
          <w:rFonts w:ascii="Verdana" w:hAnsi="Verdana"/>
        </w:rPr>
      </w:pPr>
      <w:r w:rsidRPr="00365846">
        <w:rPr>
          <w:rFonts w:ascii="Verdana" w:hAnsi="Verdana"/>
        </w:rPr>
        <w:t>nadomestilo za neefektivne ure (prazniki, dopust, bolniški izostanki),</w:t>
      </w:r>
    </w:p>
    <w:p w:rsidR="00605D52" w:rsidRPr="00365846" w:rsidRDefault="00605D52" w:rsidP="00605D52">
      <w:pPr>
        <w:numPr>
          <w:ilvl w:val="1"/>
          <w:numId w:val="12"/>
        </w:numPr>
        <w:rPr>
          <w:rFonts w:ascii="Verdana" w:hAnsi="Verdana"/>
        </w:rPr>
      </w:pPr>
      <w:r w:rsidRPr="00365846">
        <w:rPr>
          <w:rFonts w:ascii="Verdana" w:hAnsi="Verdana"/>
        </w:rPr>
        <w:t>regres za malico,</w:t>
      </w:r>
    </w:p>
    <w:p w:rsidR="00605D52" w:rsidRPr="00365846" w:rsidRDefault="00605D52" w:rsidP="00605D52">
      <w:pPr>
        <w:numPr>
          <w:ilvl w:val="1"/>
          <w:numId w:val="12"/>
        </w:numPr>
        <w:rPr>
          <w:rFonts w:ascii="Verdana" w:hAnsi="Verdana"/>
        </w:rPr>
      </w:pPr>
      <w:r w:rsidRPr="00365846">
        <w:rPr>
          <w:rFonts w:ascii="Verdana" w:hAnsi="Verdana"/>
        </w:rPr>
        <w:t>regres za letni dopust,</w:t>
      </w:r>
    </w:p>
    <w:p w:rsidR="00605D52" w:rsidRPr="00365846" w:rsidRDefault="00605D52" w:rsidP="00605D52">
      <w:pPr>
        <w:numPr>
          <w:ilvl w:val="1"/>
          <w:numId w:val="12"/>
        </w:numPr>
        <w:rPr>
          <w:rFonts w:ascii="Verdana" w:hAnsi="Verdana"/>
        </w:rPr>
      </w:pPr>
      <w:r w:rsidRPr="00365846">
        <w:rPr>
          <w:rFonts w:ascii="Verdana" w:hAnsi="Verdana"/>
        </w:rPr>
        <w:t>jubilejne nagr</w:t>
      </w:r>
      <w:r w:rsidR="00B02BBB">
        <w:rPr>
          <w:rFonts w:ascii="Verdana" w:hAnsi="Verdana"/>
        </w:rPr>
        <w:t>ade in odpravnine ob upokojitvi,</w:t>
      </w:r>
    </w:p>
    <w:p w:rsidR="002E5AA8" w:rsidRPr="00365846" w:rsidRDefault="002E5AA8" w:rsidP="00B02BBB">
      <w:pPr>
        <w:numPr>
          <w:ilvl w:val="1"/>
          <w:numId w:val="12"/>
        </w:numPr>
        <w:spacing w:after="60"/>
        <w:ind w:left="1434" w:hanging="357"/>
        <w:rPr>
          <w:rFonts w:ascii="Verdana" w:hAnsi="Verdana"/>
        </w:rPr>
      </w:pPr>
      <w:r w:rsidRPr="00365846">
        <w:rPr>
          <w:rFonts w:ascii="Verdana" w:hAnsi="Verdana"/>
        </w:rPr>
        <w:t>dohodnino (osnova katastrski do</w:t>
      </w:r>
      <w:r w:rsidR="00515E66" w:rsidRPr="00365846">
        <w:rPr>
          <w:rFonts w:ascii="Verdana" w:hAnsi="Verdana"/>
        </w:rPr>
        <w:t>hodek in dohodek iz dejavnosti).</w:t>
      </w:r>
    </w:p>
    <w:p w:rsidR="008B7E98" w:rsidRDefault="00605D52" w:rsidP="00B02BBB">
      <w:pPr>
        <w:numPr>
          <w:ilvl w:val="0"/>
          <w:numId w:val="12"/>
        </w:numPr>
        <w:spacing w:after="120"/>
        <w:ind w:left="357" w:hanging="357"/>
        <w:rPr>
          <w:rFonts w:ascii="Verdana" w:hAnsi="Verdana"/>
        </w:rPr>
      </w:pPr>
      <w:r w:rsidRPr="00365846">
        <w:rPr>
          <w:rFonts w:ascii="Verdana" w:hAnsi="Verdana"/>
        </w:rPr>
        <w:t>Stroški kapitala so obračunani na osnovi povprečno uporabljenih poslovnih sredstev ob upoštevanju 3-odstotne stopnje poslovnega presežka.</w:t>
      </w:r>
      <w:r w:rsidR="008B7E98" w:rsidRPr="00365846">
        <w:rPr>
          <w:rFonts w:ascii="Verdana" w:hAnsi="Verdana"/>
        </w:rPr>
        <w:t xml:space="preserve"> </w:t>
      </w:r>
    </w:p>
    <w:p w:rsidR="008B7E98" w:rsidRPr="008059C1" w:rsidRDefault="004148A3" w:rsidP="008059C1">
      <w:pPr>
        <w:numPr>
          <w:ilvl w:val="0"/>
          <w:numId w:val="12"/>
        </w:numPr>
        <w:spacing w:after="120"/>
        <w:ind w:left="357" w:hanging="357"/>
        <w:rPr>
          <w:rFonts w:ascii="Verdana" w:hAnsi="Verdana"/>
        </w:rPr>
      </w:pPr>
      <w:r w:rsidRPr="008059C1">
        <w:rPr>
          <w:rFonts w:ascii="Verdana" w:hAnsi="Verdana"/>
        </w:rPr>
        <w:t xml:space="preserve">Kvantitativno podlago za obračun stroškov materiala in storitev predstavlja t.i. tehnološka karta, kjer so po posameznih fazah proizvodnega procesa opredeljeni vsi pomembnejši </w:t>
      </w:r>
      <w:proofErr w:type="spellStart"/>
      <w:r w:rsidRPr="008059C1">
        <w:rPr>
          <w:rFonts w:ascii="Verdana" w:hAnsi="Verdana"/>
        </w:rPr>
        <w:t>potroški</w:t>
      </w:r>
      <w:proofErr w:type="spellEnd"/>
      <w:r w:rsidRPr="008059C1">
        <w:rPr>
          <w:rFonts w:ascii="Verdana" w:hAnsi="Verdana"/>
        </w:rPr>
        <w:t xml:space="preserve"> (poraba materiala, dela, storitev ipd.). </w:t>
      </w:r>
      <w:r w:rsidR="006E38D3" w:rsidRPr="008059C1">
        <w:rPr>
          <w:rFonts w:ascii="Verdana" w:hAnsi="Verdana"/>
        </w:rPr>
        <w:t xml:space="preserve">Tehnološke karte so izdelane s pomočjo simulacijskega modela, ki omogoča oceno porabe inputov v odvisnosti od intenzivnosti (pridelka), velikosti parcele ali črede, oddaljenosti, nagiba in ponekod še od nekaterih drugih tehnoloških parametrov. </w:t>
      </w:r>
      <w:r w:rsidRPr="008059C1">
        <w:rPr>
          <w:rFonts w:ascii="Verdana" w:hAnsi="Verdana"/>
        </w:rPr>
        <w:t>Skupna poraba materiala (po vrstah), dela in storitev je razvidna iz analitične kalkulacije.</w:t>
      </w:r>
    </w:p>
    <w:p w:rsidR="006E38D3" w:rsidRPr="008059C1" w:rsidRDefault="006E38D3" w:rsidP="008059C1">
      <w:pPr>
        <w:numPr>
          <w:ilvl w:val="0"/>
          <w:numId w:val="12"/>
        </w:numPr>
        <w:spacing w:after="120"/>
        <w:ind w:left="357" w:hanging="357"/>
        <w:rPr>
          <w:rFonts w:ascii="Verdana" w:hAnsi="Verdana"/>
        </w:rPr>
      </w:pPr>
      <w:r w:rsidRPr="008059C1">
        <w:rPr>
          <w:rFonts w:ascii="Verdana" w:hAnsi="Verdana"/>
        </w:rPr>
        <w:t>Predpostavljene so pridelovalne razmere, ki omogočajo uporabo standardne mehanizacije brez omejitev in normalne vremenske razmere za pridelavo.</w:t>
      </w:r>
    </w:p>
    <w:p w:rsidR="00C437DF" w:rsidRPr="008059C1" w:rsidRDefault="00F84B24" w:rsidP="007912D3">
      <w:pPr>
        <w:numPr>
          <w:ilvl w:val="0"/>
          <w:numId w:val="12"/>
        </w:numPr>
        <w:spacing w:after="120"/>
        <w:ind w:left="357" w:hanging="357"/>
        <w:rPr>
          <w:rFonts w:ascii="Verdana" w:hAnsi="Verdana"/>
        </w:rPr>
      </w:pPr>
      <w:r w:rsidRPr="00C7401D">
        <w:rPr>
          <w:rFonts w:ascii="Verdana" w:hAnsi="Verdana"/>
        </w:rPr>
        <w:t xml:space="preserve">Pri obračunu stroškov je bila do vključno leta 2007 uporabljena metoda zadnjih cen, kar pomeni, da so </w:t>
      </w:r>
      <w:r w:rsidR="00342C4A" w:rsidRPr="00C7401D">
        <w:rPr>
          <w:rFonts w:ascii="Verdana" w:hAnsi="Verdana"/>
        </w:rPr>
        <w:t xml:space="preserve">bili </w:t>
      </w:r>
      <w:r w:rsidRPr="00C7401D">
        <w:rPr>
          <w:rFonts w:ascii="Verdana" w:hAnsi="Verdana"/>
        </w:rPr>
        <w:t xml:space="preserve">vsi </w:t>
      </w:r>
      <w:proofErr w:type="spellStart"/>
      <w:r w:rsidRPr="00C7401D">
        <w:rPr>
          <w:rFonts w:ascii="Verdana" w:hAnsi="Verdana"/>
        </w:rPr>
        <w:t>potroški</w:t>
      </w:r>
      <w:proofErr w:type="spellEnd"/>
      <w:r w:rsidRPr="00C7401D">
        <w:rPr>
          <w:rFonts w:ascii="Verdana" w:hAnsi="Verdana"/>
        </w:rPr>
        <w:t xml:space="preserve"> vrednoteni po cenah, ki so </w:t>
      </w:r>
      <w:r w:rsidRPr="00C7401D">
        <w:rPr>
          <w:rFonts w:ascii="Verdana" w:hAnsi="Verdana"/>
        </w:rPr>
        <w:lastRenderedPageBreak/>
        <w:t xml:space="preserve">veljale v mesecu na katerega se kalkulacije nanašajo. </w:t>
      </w:r>
      <w:r w:rsidR="007912D3" w:rsidRPr="00C7401D">
        <w:rPr>
          <w:rFonts w:ascii="Verdana" w:hAnsi="Verdana"/>
        </w:rPr>
        <w:t xml:space="preserve">Na povprečni letni ravni pa so bili stroški praviloma izračunani na podlagi povprečnih letnih cen. </w:t>
      </w:r>
      <w:r w:rsidRPr="00C7401D">
        <w:rPr>
          <w:rFonts w:ascii="Verdana" w:hAnsi="Verdana"/>
        </w:rPr>
        <w:t>V letu 2008 s</w:t>
      </w:r>
      <w:r w:rsidR="00747631" w:rsidRPr="00C7401D">
        <w:rPr>
          <w:rFonts w:ascii="Verdana" w:hAnsi="Verdana"/>
        </w:rPr>
        <w:t xml:space="preserve">o </w:t>
      </w:r>
      <w:r w:rsidR="007912D3" w:rsidRPr="00C7401D">
        <w:rPr>
          <w:rFonts w:ascii="Verdana" w:hAnsi="Verdana"/>
        </w:rPr>
        <w:t xml:space="preserve">bili </w:t>
      </w:r>
      <w:r w:rsidR="00747631" w:rsidRPr="00C7401D">
        <w:rPr>
          <w:rFonts w:ascii="Verdana" w:hAnsi="Verdana"/>
        </w:rPr>
        <w:t>stroški na mesečni ravni praviloma še vedno obračunani po metodi zadnjih cen, medtem ko je na letni ravni prišlo do spremembe obračuna stroškov, ki se razlikuje v kolikor gre za rastlinske ali za živinorejske kalkulacije.</w:t>
      </w:r>
      <w:r w:rsidR="00724A1E" w:rsidRPr="00C7401D">
        <w:rPr>
          <w:rFonts w:ascii="Verdana" w:hAnsi="Verdana"/>
        </w:rPr>
        <w:t xml:space="preserve"> </w:t>
      </w:r>
      <w:r w:rsidR="00867630" w:rsidRPr="00C7401D">
        <w:rPr>
          <w:rFonts w:ascii="Verdana" w:hAnsi="Verdana"/>
        </w:rPr>
        <w:t xml:space="preserve">Na letni ravni so </w:t>
      </w:r>
      <w:r w:rsidR="00342C4A" w:rsidRPr="00C7401D">
        <w:rPr>
          <w:rFonts w:ascii="Verdana" w:hAnsi="Verdana"/>
        </w:rPr>
        <w:t xml:space="preserve">bili </w:t>
      </w:r>
      <w:r w:rsidR="00867630" w:rsidRPr="00C7401D">
        <w:rPr>
          <w:rFonts w:ascii="Verdana" w:hAnsi="Verdana"/>
        </w:rPr>
        <w:t>v</w:t>
      </w:r>
      <w:r w:rsidR="000276EF" w:rsidRPr="00C7401D">
        <w:rPr>
          <w:rFonts w:ascii="Verdana" w:hAnsi="Verdana"/>
        </w:rPr>
        <w:t xml:space="preserve"> kalkulacijah za rastlinsko pridelavo </w:t>
      </w:r>
      <w:r w:rsidR="00B03896" w:rsidRPr="00C7401D">
        <w:rPr>
          <w:rFonts w:ascii="Verdana" w:hAnsi="Verdana"/>
        </w:rPr>
        <w:t>stroški obračunani</w:t>
      </w:r>
      <w:r w:rsidR="000276EF" w:rsidRPr="00C7401D">
        <w:rPr>
          <w:rFonts w:ascii="Verdana" w:hAnsi="Verdana"/>
        </w:rPr>
        <w:t xml:space="preserve"> po cenah v času nastanka potroška v pridelovalnem </w:t>
      </w:r>
      <w:r w:rsidR="00E00712">
        <w:rPr>
          <w:rFonts w:ascii="Verdana" w:hAnsi="Verdana"/>
        </w:rPr>
        <w:t>obdobju</w:t>
      </w:r>
      <w:r w:rsidR="005E3615" w:rsidRPr="00C7401D">
        <w:rPr>
          <w:rFonts w:ascii="Verdana" w:hAnsi="Verdana"/>
        </w:rPr>
        <w:t xml:space="preserve"> posameznega kmetijskega pridelka</w:t>
      </w:r>
      <w:r w:rsidR="009A2416" w:rsidRPr="00C7401D">
        <w:rPr>
          <w:rFonts w:ascii="Verdana" w:hAnsi="Verdana"/>
        </w:rPr>
        <w:t xml:space="preserve"> (povprečje </w:t>
      </w:r>
      <w:r w:rsidR="007912D3" w:rsidRPr="00C7401D">
        <w:rPr>
          <w:rFonts w:ascii="Verdana" w:hAnsi="Verdana"/>
        </w:rPr>
        <w:t>letine</w:t>
      </w:r>
      <w:r w:rsidR="009A2416" w:rsidRPr="00C7401D">
        <w:rPr>
          <w:rFonts w:ascii="Verdana" w:hAnsi="Verdana"/>
        </w:rPr>
        <w:t>)</w:t>
      </w:r>
      <w:r w:rsidR="00747631" w:rsidRPr="00C7401D">
        <w:rPr>
          <w:rFonts w:ascii="Verdana" w:hAnsi="Verdana"/>
        </w:rPr>
        <w:t xml:space="preserve">. </w:t>
      </w:r>
      <w:r w:rsidR="00D250B7" w:rsidRPr="00C7401D">
        <w:rPr>
          <w:rFonts w:ascii="Verdana" w:hAnsi="Verdana"/>
        </w:rPr>
        <w:t>V</w:t>
      </w:r>
      <w:r w:rsidR="008462DB" w:rsidRPr="00C7401D">
        <w:rPr>
          <w:rFonts w:ascii="Verdana" w:hAnsi="Verdana"/>
        </w:rPr>
        <w:t xml:space="preserve"> kalkulacijah za živinorejsko proizvodnjo </w:t>
      </w:r>
      <w:r w:rsidR="00D250B7" w:rsidRPr="00C7401D">
        <w:rPr>
          <w:rFonts w:ascii="Verdana" w:hAnsi="Verdana"/>
        </w:rPr>
        <w:t xml:space="preserve">na letni ravni so </w:t>
      </w:r>
      <w:r w:rsidR="00342C4A" w:rsidRPr="00C7401D">
        <w:rPr>
          <w:rFonts w:ascii="Verdana" w:hAnsi="Verdana"/>
        </w:rPr>
        <w:t xml:space="preserve">bili </w:t>
      </w:r>
      <w:r w:rsidR="00867630" w:rsidRPr="00C7401D">
        <w:rPr>
          <w:rFonts w:ascii="Verdana" w:hAnsi="Verdana"/>
        </w:rPr>
        <w:t xml:space="preserve">stroški </w:t>
      </w:r>
      <w:r w:rsidR="00053A68" w:rsidRPr="00C7401D">
        <w:rPr>
          <w:rFonts w:ascii="Verdana" w:hAnsi="Verdana"/>
        </w:rPr>
        <w:t xml:space="preserve">praviloma </w:t>
      </w:r>
      <w:r w:rsidR="00747631" w:rsidRPr="00C7401D">
        <w:rPr>
          <w:rFonts w:ascii="Verdana" w:hAnsi="Verdana"/>
        </w:rPr>
        <w:t>izračunani na osnovi</w:t>
      </w:r>
      <w:r w:rsidR="00867630" w:rsidRPr="00C7401D">
        <w:rPr>
          <w:rFonts w:ascii="Verdana" w:hAnsi="Verdana"/>
        </w:rPr>
        <w:t xml:space="preserve"> povprečnih letnih cen</w:t>
      </w:r>
      <w:r w:rsidR="007912D3" w:rsidRPr="00C7401D">
        <w:rPr>
          <w:rFonts w:ascii="Verdana" w:hAnsi="Verdana"/>
        </w:rPr>
        <w:t>,</w:t>
      </w:r>
      <w:r w:rsidR="00747631" w:rsidRPr="00C7401D">
        <w:rPr>
          <w:rFonts w:ascii="Verdana" w:hAnsi="Verdana"/>
        </w:rPr>
        <w:t xml:space="preserve"> z izjemo</w:t>
      </w:r>
      <w:r w:rsidR="00053A68" w:rsidRPr="00C7401D">
        <w:rPr>
          <w:rFonts w:ascii="Verdana" w:hAnsi="Verdana"/>
        </w:rPr>
        <w:t xml:space="preserve"> </w:t>
      </w:r>
      <w:r w:rsidR="00747631" w:rsidRPr="00C7401D">
        <w:rPr>
          <w:rFonts w:ascii="Verdana" w:hAnsi="Verdana"/>
        </w:rPr>
        <w:t>s</w:t>
      </w:r>
      <w:r w:rsidR="00D96240" w:rsidRPr="00C7401D">
        <w:rPr>
          <w:rFonts w:ascii="Verdana" w:hAnsi="Verdana"/>
        </w:rPr>
        <w:t>trošk</w:t>
      </w:r>
      <w:r w:rsidR="00747631" w:rsidRPr="00C7401D">
        <w:rPr>
          <w:rFonts w:ascii="Verdana" w:hAnsi="Verdana"/>
        </w:rPr>
        <w:t>ov</w:t>
      </w:r>
      <w:r w:rsidR="00D96240" w:rsidRPr="00C7401D">
        <w:rPr>
          <w:rFonts w:ascii="Verdana" w:hAnsi="Verdana"/>
        </w:rPr>
        <w:t xml:space="preserve"> </w:t>
      </w:r>
      <w:r w:rsidR="008462DB" w:rsidRPr="00C7401D">
        <w:rPr>
          <w:rFonts w:ascii="Verdana" w:hAnsi="Verdana"/>
        </w:rPr>
        <w:t>doma pridelan</w:t>
      </w:r>
      <w:r w:rsidR="002C2B56" w:rsidRPr="00C7401D">
        <w:rPr>
          <w:rFonts w:ascii="Verdana" w:hAnsi="Verdana"/>
        </w:rPr>
        <w:t>e</w:t>
      </w:r>
      <w:r w:rsidR="008462DB" w:rsidRPr="00C7401D">
        <w:rPr>
          <w:rFonts w:ascii="Verdana" w:hAnsi="Verdana"/>
        </w:rPr>
        <w:t xml:space="preserve"> krm</w:t>
      </w:r>
      <w:r w:rsidR="002C2B56" w:rsidRPr="00C7401D">
        <w:rPr>
          <w:rFonts w:ascii="Verdana" w:hAnsi="Verdana"/>
        </w:rPr>
        <w:t>e</w:t>
      </w:r>
      <w:r w:rsidR="00EC649B" w:rsidRPr="00C7401D">
        <w:rPr>
          <w:rFonts w:ascii="Verdana" w:hAnsi="Verdana"/>
        </w:rPr>
        <w:t xml:space="preserve"> (</w:t>
      </w:r>
      <w:r w:rsidR="008462DB" w:rsidRPr="00C7401D">
        <w:rPr>
          <w:rFonts w:ascii="Verdana" w:hAnsi="Verdana"/>
        </w:rPr>
        <w:t>silažna koruza, seno, paša, travna silaža, silirano koruzno zrnje, ječmen)</w:t>
      </w:r>
      <w:r w:rsidR="007912D3" w:rsidRPr="00C7401D">
        <w:rPr>
          <w:rFonts w:ascii="Verdana" w:hAnsi="Verdana"/>
        </w:rPr>
        <w:t xml:space="preserve">, ki </w:t>
      </w:r>
      <w:r w:rsidR="00325DB6" w:rsidRPr="00C7401D">
        <w:rPr>
          <w:rFonts w:ascii="Verdana" w:hAnsi="Verdana"/>
        </w:rPr>
        <w:t>so</w:t>
      </w:r>
      <w:r w:rsidR="002C2B56" w:rsidRPr="00C7401D">
        <w:rPr>
          <w:rFonts w:ascii="Verdana" w:hAnsi="Verdana"/>
        </w:rPr>
        <w:t xml:space="preserve"> </w:t>
      </w:r>
      <w:r w:rsidR="00342C4A" w:rsidRPr="00C7401D">
        <w:rPr>
          <w:rFonts w:ascii="Verdana" w:hAnsi="Verdana"/>
        </w:rPr>
        <w:t xml:space="preserve">bili </w:t>
      </w:r>
      <w:r w:rsidR="00D96240" w:rsidRPr="00C7401D">
        <w:rPr>
          <w:rFonts w:ascii="Verdana" w:hAnsi="Verdana"/>
        </w:rPr>
        <w:t>obračunan</w:t>
      </w:r>
      <w:r w:rsidR="00325DB6" w:rsidRPr="00C7401D">
        <w:rPr>
          <w:rFonts w:ascii="Verdana" w:hAnsi="Verdana"/>
        </w:rPr>
        <w:t>i</w:t>
      </w:r>
      <w:r w:rsidR="00053A68" w:rsidRPr="00C7401D">
        <w:rPr>
          <w:rFonts w:ascii="Verdana" w:hAnsi="Verdana"/>
        </w:rPr>
        <w:t xml:space="preserve"> </w:t>
      </w:r>
      <w:r w:rsidR="00FA4E47" w:rsidRPr="00C7401D">
        <w:rPr>
          <w:rFonts w:ascii="Verdana" w:hAnsi="Verdana"/>
        </w:rPr>
        <w:t xml:space="preserve">na način kot </w:t>
      </w:r>
      <w:r w:rsidR="002C2B56" w:rsidRPr="00C7401D">
        <w:rPr>
          <w:rFonts w:ascii="Verdana" w:hAnsi="Verdana"/>
        </w:rPr>
        <w:t xml:space="preserve">velja </w:t>
      </w:r>
      <w:r w:rsidR="00032D42" w:rsidRPr="00C7401D">
        <w:rPr>
          <w:rFonts w:ascii="Verdana" w:hAnsi="Verdana"/>
        </w:rPr>
        <w:t>za</w:t>
      </w:r>
      <w:r w:rsidR="00053A68" w:rsidRPr="00C7401D">
        <w:rPr>
          <w:rFonts w:ascii="Verdana" w:hAnsi="Verdana"/>
        </w:rPr>
        <w:t xml:space="preserve"> </w:t>
      </w:r>
      <w:r w:rsidR="00141015" w:rsidRPr="00C7401D">
        <w:rPr>
          <w:rFonts w:ascii="Verdana" w:hAnsi="Verdana"/>
        </w:rPr>
        <w:t>rastlinsk</w:t>
      </w:r>
      <w:r w:rsidR="00032D42" w:rsidRPr="00C7401D">
        <w:rPr>
          <w:rFonts w:ascii="Verdana" w:hAnsi="Verdana"/>
        </w:rPr>
        <w:t>e</w:t>
      </w:r>
      <w:r w:rsidR="00141015" w:rsidRPr="00C7401D">
        <w:rPr>
          <w:rFonts w:ascii="Verdana" w:hAnsi="Verdana"/>
        </w:rPr>
        <w:t xml:space="preserve"> kalkulacij</w:t>
      </w:r>
      <w:r w:rsidR="00032D42" w:rsidRPr="00C7401D">
        <w:rPr>
          <w:rFonts w:ascii="Verdana" w:hAnsi="Verdana"/>
        </w:rPr>
        <w:t>e</w:t>
      </w:r>
      <w:r w:rsidR="000F6983" w:rsidRPr="00C7401D">
        <w:rPr>
          <w:rFonts w:ascii="Verdana" w:hAnsi="Verdana"/>
        </w:rPr>
        <w:t xml:space="preserve"> na letni ravni</w:t>
      </w:r>
      <w:r w:rsidR="000276EF" w:rsidRPr="00C7401D">
        <w:rPr>
          <w:rFonts w:ascii="Verdana" w:hAnsi="Verdana"/>
        </w:rPr>
        <w:t>.</w:t>
      </w:r>
      <w:r w:rsidRPr="00C7401D">
        <w:rPr>
          <w:rFonts w:ascii="Verdana" w:hAnsi="Verdana"/>
        </w:rPr>
        <w:t xml:space="preserve"> </w:t>
      </w:r>
      <w:r w:rsidR="005C512D">
        <w:rPr>
          <w:rFonts w:ascii="Verdana" w:hAnsi="Verdana"/>
        </w:rPr>
        <w:t>Z</w:t>
      </w:r>
      <w:r w:rsidR="00EF384E" w:rsidRPr="00C7401D">
        <w:rPr>
          <w:rFonts w:ascii="Verdana" w:hAnsi="Verdana"/>
        </w:rPr>
        <w:t xml:space="preserve"> let</w:t>
      </w:r>
      <w:r w:rsidR="005C512D">
        <w:rPr>
          <w:rFonts w:ascii="Verdana" w:hAnsi="Verdana"/>
        </w:rPr>
        <w:t>om</w:t>
      </w:r>
      <w:r w:rsidR="00EF384E" w:rsidRPr="00C7401D">
        <w:rPr>
          <w:rFonts w:ascii="Verdana" w:hAnsi="Verdana"/>
        </w:rPr>
        <w:t xml:space="preserve"> 2009 </w:t>
      </w:r>
      <w:r w:rsidR="005C512D">
        <w:rPr>
          <w:rFonts w:ascii="Verdana" w:hAnsi="Verdana"/>
        </w:rPr>
        <w:t xml:space="preserve">naprej </w:t>
      </w:r>
      <w:r w:rsidR="00EF384E" w:rsidRPr="00C7401D">
        <w:rPr>
          <w:rFonts w:ascii="Verdana" w:hAnsi="Verdana"/>
        </w:rPr>
        <w:t xml:space="preserve">se v rastlinskih kalkulacijah v mesecih pridelovanja </w:t>
      </w:r>
      <w:r w:rsidR="00342C4A" w:rsidRPr="00C7401D">
        <w:rPr>
          <w:rFonts w:ascii="Verdana" w:hAnsi="Verdana"/>
        </w:rPr>
        <w:t xml:space="preserve">posameznega kmetijskega pridelka </w:t>
      </w:r>
      <w:r w:rsidR="006311E4" w:rsidRPr="00C7401D">
        <w:rPr>
          <w:rFonts w:ascii="Verdana" w:hAnsi="Verdana"/>
        </w:rPr>
        <w:t xml:space="preserve">(sezona) </w:t>
      </w:r>
      <w:r w:rsidR="00EF384E" w:rsidRPr="00C7401D">
        <w:rPr>
          <w:rFonts w:ascii="Verdana" w:hAnsi="Verdana"/>
        </w:rPr>
        <w:t xml:space="preserve">izračunavajo prve ocene </w:t>
      </w:r>
      <w:r w:rsidR="00342C4A" w:rsidRPr="00C7401D">
        <w:rPr>
          <w:rFonts w:ascii="Verdana" w:hAnsi="Verdana"/>
        </w:rPr>
        <w:t>povprečnih s</w:t>
      </w:r>
      <w:r w:rsidR="00EF384E" w:rsidRPr="00C7401D">
        <w:rPr>
          <w:rFonts w:ascii="Verdana" w:hAnsi="Verdana"/>
        </w:rPr>
        <w:t>troškov letine (po trenutno razpoložljivih cenah), ki po spravilu pridelkov postanejo stroški letine</w:t>
      </w:r>
      <w:r w:rsidR="004711B2" w:rsidRPr="00C7401D">
        <w:rPr>
          <w:rFonts w:ascii="Verdana" w:hAnsi="Verdana"/>
        </w:rPr>
        <w:t xml:space="preserve"> na povprečni </w:t>
      </w:r>
      <w:r w:rsidR="00342C4A" w:rsidRPr="00C7401D">
        <w:rPr>
          <w:rFonts w:ascii="Verdana" w:hAnsi="Verdana"/>
        </w:rPr>
        <w:t>letni ravni</w:t>
      </w:r>
      <w:r w:rsidR="00EF384E" w:rsidRPr="004F0323">
        <w:rPr>
          <w:rFonts w:ascii="Verdana" w:hAnsi="Verdana"/>
        </w:rPr>
        <w:t>. V</w:t>
      </w:r>
      <w:r w:rsidR="00D250B7" w:rsidRPr="004F0323">
        <w:rPr>
          <w:rFonts w:ascii="Verdana" w:hAnsi="Verdana"/>
        </w:rPr>
        <w:t xml:space="preserve"> živinorejskih kalkulacijah </w:t>
      </w:r>
      <w:r w:rsidR="004711B2" w:rsidRPr="004F0323">
        <w:rPr>
          <w:rFonts w:ascii="Verdana" w:hAnsi="Verdana"/>
        </w:rPr>
        <w:t xml:space="preserve">so stroški na mesečni ravni praviloma še vedno obračunani po metodi zadnjih cen razen stroškov </w:t>
      </w:r>
      <w:r w:rsidR="00EC649B" w:rsidRPr="004F0323">
        <w:rPr>
          <w:rFonts w:ascii="Verdana" w:hAnsi="Verdana"/>
        </w:rPr>
        <w:t>doma pridelane krme</w:t>
      </w:r>
      <w:r w:rsidR="004711B2" w:rsidRPr="004F0323">
        <w:rPr>
          <w:rFonts w:ascii="Verdana" w:hAnsi="Verdana"/>
        </w:rPr>
        <w:t xml:space="preserve">. Ti so </w:t>
      </w:r>
      <w:r w:rsidR="001A405F" w:rsidRPr="004F0323">
        <w:rPr>
          <w:rFonts w:ascii="Verdana" w:hAnsi="Verdana"/>
        </w:rPr>
        <w:t xml:space="preserve">vse do </w:t>
      </w:r>
      <w:r w:rsidR="00342C4A" w:rsidRPr="004F0323">
        <w:rPr>
          <w:rFonts w:ascii="Verdana" w:hAnsi="Verdana"/>
        </w:rPr>
        <w:t xml:space="preserve">spravila posameznih vrst doma pridelane krme </w:t>
      </w:r>
      <w:r w:rsidR="00D250B7" w:rsidRPr="004F0323">
        <w:rPr>
          <w:rFonts w:ascii="Verdana" w:hAnsi="Verdana"/>
        </w:rPr>
        <w:t>obračunan</w:t>
      </w:r>
      <w:r w:rsidR="004711B2" w:rsidRPr="004F0323">
        <w:rPr>
          <w:rFonts w:ascii="Verdana" w:hAnsi="Verdana"/>
        </w:rPr>
        <w:t>i</w:t>
      </w:r>
      <w:r w:rsidR="00D250B7" w:rsidRPr="004F0323">
        <w:rPr>
          <w:rFonts w:ascii="Verdana" w:hAnsi="Verdana"/>
        </w:rPr>
        <w:t xml:space="preserve"> na osnovi letnih lastnih cen iz </w:t>
      </w:r>
      <w:r w:rsidR="004F0323" w:rsidRPr="004F0323">
        <w:rPr>
          <w:rFonts w:ascii="Verdana" w:hAnsi="Verdana"/>
        </w:rPr>
        <w:t>predhodnega leta</w:t>
      </w:r>
      <w:r w:rsidR="0034002D" w:rsidRPr="004F0323">
        <w:rPr>
          <w:rFonts w:ascii="Verdana" w:hAnsi="Verdana"/>
        </w:rPr>
        <w:t>,</w:t>
      </w:r>
      <w:r w:rsidR="00342C4A" w:rsidRPr="004F0323">
        <w:rPr>
          <w:rFonts w:ascii="Verdana" w:hAnsi="Verdana"/>
        </w:rPr>
        <w:t xml:space="preserve"> </w:t>
      </w:r>
      <w:r w:rsidR="0034002D" w:rsidRPr="004F0323">
        <w:rPr>
          <w:rFonts w:ascii="Verdana" w:hAnsi="Verdana"/>
        </w:rPr>
        <w:t xml:space="preserve">po spravilu </w:t>
      </w:r>
      <w:r w:rsidR="00342C4A" w:rsidRPr="004F0323">
        <w:rPr>
          <w:rFonts w:ascii="Verdana" w:hAnsi="Verdana"/>
        </w:rPr>
        <w:t xml:space="preserve">pa po stroških </w:t>
      </w:r>
      <w:r w:rsidR="004F0323" w:rsidRPr="004F0323">
        <w:rPr>
          <w:rFonts w:ascii="Verdana" w:hAnsi="Verdana"/>
        </w:rPr>
        <w:t xml:space="preserve">tekoče </w:t>
      </w:r>
      <w:r w:rsidR="00342C4A" w:rsidRPr="004F0323">
        <w:rPr>
          <w:rFonts w:ascii="Verdana" w:hAnsi="Verdana"/>
        </w:rPr>
        <w:t>letine (</w:t>
      </w:r>
      <w:r w:rsidR="004F0323" w:rsidRPr="004F0323">
        <w:rPr>
          <w:rFonts w:ascii="Verdana" w:hAnsi="Verdana"/>
        </w:rPr>
        <w:t xml:space="preserve">krma je </w:t>
      </w:r>
      <w:r w:rsidR="00342C4A" w:rsidRPr="004F0323">
        <w:rPr>
          <w:rFonts w:ascii="Verdana" w:hAnsi="Verdana"/>
        </w:rPr>
        <w:t>obračunana na način kot velja za rastlinske kalkulacije).</w:t>
      </w:r>
      <w:r w:rsidR="00EF384E" w:rsidRPr="004F0323">
        <w:rPr>
          <w:rFonts w:ascii="Verdana" w:hAnsi="Verdana"/>
        </w:rPr>
        <w:t xml:space="preserve"> </w:t>
      </w:r>
      <w:proofErr w:type="spellStart"/>
      <w:r w:rsidR="00C437DF" w:rsidRPr="004F0323">
        <w:rPr>
          <w:rFonts w:ascii="Verdana" w:hAnsi="Verdana"/>
        </w:rPr>
        <w:t>Potroški</w:t>
      </w:r>
      <w:proofErr w:type="spellEnd"/>
      <w:r w:rsidR="00C437DF" w:rsidRPr="00C7401D">
        <w:rPr>
          <w:rFonts w:ascii="Verdana" w:hAnsi="Verdana"/>
        </w:rPr>
        <w:t xml:space="preserve"> domačega materiala in storitev, ki imajo značaj vmesne porabe (za reprodukcijo) in se vsaj v večjem</w:t>
      </w:r>
      <w:r w:rsidR="00C437DF" w:rsidRPr="008059C1">
        <w:rPr>
          <w:rFonts w:ascii="Verdana" w:hAnsi="Verdana"/>
        </w:rPr>
        <w:t xml:space="preserve"> obsegu običajno ne tržijo (domače strojne storitve, voluminozna krma)</w:t>
      </w:r>
      <w:r w:rsidR="00515E66" w:rsidRPr="008059C1">
        <w:rPr>
          <w:rFonts w:ascii="Verdana" w:hAnsi="Verdana"/>
        </w:rPr>
        <w:t>,</w:t>
      </w:r>
      <w:r w:rsidR="00C437DF" w:rsidRPr="008059C1">
        <w:rPr>
          <w:rFonts w:ascii="Verdana" w:hAnsi="Verdana"/>
        </w:rPr>
        <w:t xml:space="preserve"> so vrednoteni po </w:t>
      </w:r>
      <w:r w:rsidR="00A809BF" w:rsidRPr="008059C1">
        <w:rPr>
          <w:rFonts w:ascii="Verdana" w:hAnsi="Verdana"/>
        </w:rPr>
        <w:t xml:space="preserve">polni </w:t>
      </w:r>
      <w:r w:rsidR="00C437DF" w:rsidRPr="008059C1">
        <w:rPr>
          <w:rFonts w:ascii="Verdana" w:hAnsi="Verdana"/>
        </w:rPr>
        <w:t>lastni ceni</w:t>
      </w:r>
      <w:r w:rsidR="00A809BF" w:rsidRPr="008059C1">
        <w:rPr>
          <w:rFonts w:ascii="Verdana" w:hAnsi="Verdana"/>
        </w:rPr>
        <w:t xml:space="preserve"> (brez upoštevanja morebitnih subvencij)</w:t>
      </w:r>
      <w:r w:rsidR="00176E60" w:rsidRPr="008059C1">
        <w:rPr>
          <w:rFonts w:ascii="Verdana" w:hAnsi="Verdana"/>
        </w:rPr>
        <w:t xml:space="preserve">, tisti pa, </w:t>
      </w:r>
      <w:r w:rsidR="00C437DF" w:rsidRPr="008059C1">
        <w:rPr>
          <w:rFonts w:ascii="Verdana" w:hAnsi="Verdana"/>
        </w:rPr>
        <w:t>ki se na splošno tudi tržijo</w:t>
      </w:r>
      <w:r w:rsidR="00176E60" w:rsidRPr="008059C1">
        <w:rPr>
          <w:rFonts w:ascii="Verdana" w:hAnsi="Verdana"/>
        </w:rPr>
        <w:t xml:space="preserve"> (žita za krmo, živina za nadaljnjo rejo, mleko za teleta</w:t>
      </w:r>
      <w:r w:rsidR="008B198E">
        <w:rPr>
          <w:rFonts w:ascii="Verdana" w:hAnsi="Verdana"/>
        </w:rPr>
        <w:t xml:space="preserve">, </w:t>
      </w:r>
      <w:r w:rsidR="00176E60" w:rsidRPr="008059C1">
        <w:rPr>
          <w:rFonts w:ascii="Verdana" w:hAnsi="Verdana"/>
        </w:rPr>
        <w:t>…)</w:t>
      </w:r>
      <w:r w:rsidR="00C437DF" w:rsidRPr="008059C1">
        <w:rPr>
          <w:rFonts w:ascii="Verdana" w:hAnsi="Verdana"/>
        </w:rPr>
        <w:t xml:space="preserve">, </w:t>
      </w:r>
      <w:r w:rsidR="00515E66" w:rsidRPr="008059C1">
        <w:rPr>
          <w:rFonts w:ascii="Verdana" w:hAnsi="Verdana"/>
        </w:rPr>
        <w:t xml:space="preserve">pa </w:t>
      </w:r>
      <w:r w:rsidR="00C437DF" w:rsidRPr="008059C1">
        <w:rPr>
          <w:rFonts w:ascii="Verdana" w:hAnsi="Verdana"/>
        </w:rPr>
        <w:t xml:space="preserve">so </w:t>
      </w:r>
      <w:r w:rsidR="00983365" w:rsidRPr="008059C1">
        <w:rPr>
          <w:rFonts w:ascii="Verdana" w:hAnsi="Verdana"/>
        </w:rPr>
        <w:t xml:space="preserve">večinoma </w:t>
      </w:r>
      <w:r w:rsidR="00C437DF" w:rsidRPr="008059C1">
        <w:rPr>
          <w:rFonts w:ascii="Verdana" w:hAnsi="Verdana"/>
        </w:rPr>
        <w:t>obračunani po prodajni ceni.</w:t>
      </w:r>
    </w:p>
    <w:p w:rsidR="004A33E7" w:rsidRPr="008059C1" w:rsidRDefault="001641D0" w:rsidP="008059C1">
      <w:pPr>
        <w:numPr>
          <w:ilvl w:val="0"/>
          <w:numId w:val="12"/>
        </w:numPr>
        <w:spacing w:after="120"/>
        <w:ind w:left="357" w:hanging="357"/>
        <w:rPr>
          <w:rFonts w:ascii="Verdana" w:hAnsi="Verdana"/>
        </w:rPr>
      </w:pPr>
      <w:r w:rsidRPr="008059C1">
        <w:rPr>
          <w:rFonts w:ascii="Verdana" w:hAnsi="Verdana"/>
        </w:rPr>
        <w:t xml:space="preserve">Na stroškovni strani so upoštevani tudi morebitni regresi, ki so izplačani v obliki, ki neposredno znižuje ceno ali strošek za kmeta (npr. regres za seme, ki ga uveljavlja prodajalec in je zato </w:t>
      </w:r>
      <w:r w:rsidR="00515E66" w:rsidRPr="008059C1">
        <w:rPr>
          <w:rFonts w:ascii="Verdana" w:hAnsi="Verdana"/>
        </w:rPr>
        <w:t xml:space="preserve">nabavna </w:t>
      </w:r>
      <w:r w:rsidRPr="008059C1">
        <w:rPr>
          <w:rFonts w:ascii="Verdana" w:hAnsi="Verdana"/>
        </w:rPr>
        <w:t>cena nižja; regres za zavarovanje pridelkov).</w:t>
      </w:r>
      <w:r w:rsidR="00A30098" w:rsidRPr="008059C1">
        <w:rPr>
          <w:rFonts w:ascii="Verdana" w:hAnsi="Verdana"/>
        </w:rPr>
        <w:t xml:space="preserve"> Morebitni drugi regresi, ki so izplačani neposredno </w:t>
      </w:r>
      <w:r w:rsidR="00515E66" w:rsidRPr="008059C1">
        <w:rPr>
          <w:rFonts w:ascii="Verdana" w:hAnsi="Verdana"/>
        </w:rPr>
        <w:t>kmetijskim proizvajalcem</w:t>
      </w:r>
      <w:r w:rsidR="00A30098" w:rsidRPr="008059C1">
        <w:rPr>
          <w:rFonts w:ascii="Verdana" w:hAnsi="Verdana"/>
        </w:rPr>
        <w:t xml:space="preserve"> (npr. vračilo trošarine)</w:t>
      </w:r>
      <w:r w:rsidR="008059C1" w:rsidRPr="008059C1">
        <w:rPr>
          <w:rFonts w:ascii="Verdana" w:hAnsi="Verdana"/>
        </w:rPr>
        <w:t>,</w:t>
      </w:r>
      <w:r w:rsidR="00A30098" w:rsidRPr="008059C1">
        <w:rPr>
          <w:rFonts w:ascii="Verdana" w:hAnsi="Verdana"/>
        </w:rPr>
        <w:t xml:space="preserve"> so obračunani na prihodkovni strani.</w:t>
      </w:r>
    </w:p>
    <w:p w:rsidR="00A30098" w:rsidRPr="008059C1" w:rsidRDefault="00A30098" w:rsidP="008059C1">
      <w:pPr>
        <w:numPr>
          <w:ilvl w:val="0"/>
          <w:numId w:val="12"/>
        </w:numPr>
        <w:spacing w:after="120"/>
        <w:ind w:left="357" w:hanging="357"/>
        <w:rPr>
          <w:rFonts w:ascii="Verdana" w:hAnsi="Verdana"/>
        </w:rPr>
      </w:pPr>
      <w:r w:rsidRPr="008059C1">
        <w:rPr>
          <w:rFonts w:ascii="Verdana" w:hAnsi="Verdana"/>
        </w:rPr>
        <w:t xml:space="preserve">Ocene stroškov veljajo za kmetijo, ki nastopa kot obvezni ali prostovoljni zavezanec v sistemu DDV. Kmetija s statusom zavezanca ima pravico do poračuna vstopnega DDV. Cene kupljenega materiala in tujih storitev so upoštevane brez DDV (pred uveljavitvijo DDV brez prometnega davka), tako da tudi ugotovljena cena na enoto ne vsebuje DDV. </w:t>
      </w:r>
    </w:p>
    <w:p w:rsidR="004A33E7" w:rsidRPr="008059C1" w:rsidRDefault="004A33E7" w:rsidP="008059C1">
      <w:pPr>
        <w:numPr>
          <w:ilvl w:val="0"/>
          <w:numId w:val="12"/>
        </w:numPr>
        <w:spacing w:after="120"/>
        <w:ind w:left="357" w:hanging="357"/>
        <w:rPr>
          <w:rFonts w:ascii="Verdana" w:hAnsi="Verdana"/>
        </w:rPr>
      </w:pPr>
      <w:r w:rsidRPr="008059C1">
        <w:rPr>
          <w:rFonts w:ascii="Verdana" w:hAnsi="Verdana"/>
        </w:rPr>
        <w:t>Strošk</w:t>
      </w:r>
      <w:r w:rsidR="006B708A">
        <w:rPr>
          <w:rFonts w:ascii="Verdana" w:hAnsi="Verdana"/>
        </w:rPr>
        <w:t>i</w:t>
      </w:r>
      <w:r w:rsidRPr="008059C1">
        <w:rPr>
          <w:rFonts w:ascii="Verdana" w:hAnsi="Verdana"/>
        </w:rPr>
        <w:t xml:space="preserve"> zavarovanja </w:t>
      </w:r>
      <w:r w:rsidR="00515E66" w:rsidRPr="008059C1">
        <w:rPr>
          <w:rFonts w:ascii="Verdana" w:hAnsi="Verdana"/>
        </w:rPr>
        <w:t xml:space="preserve">so </w:t>
      </w:r>
      <w:r w:rsidRPr="008059C1">
        <w:rPr>
          <w:rFonts w:ascii="Verdana" w:hAnsi="Verdana"/>
        </w:rPr>
        <w:t>obračuna</w:t>
      </w:r>
      <w:r w:rsidR="00515E66" w:rsidRPr="008059C1">
        <w:rPr>
          <w:rFonts w:ascii="Verdana" w:hAnsi="Verdana"/>
        </w:rPr>
        <w:t>ni</w:t>
      </w:r>
      <w:r w:rsidRPr="008059C1">
        <w:rPr>
          <w:rFonts w:ascii="Verdana" w:hAnsi="Verdana"/>
        </w:rPr>
        <w:t xml:space="preserve"> za vsa osnovna sredstva (razen zemlje) in večino kmetijskih pridelkov, ki imajo tržno vrednost. Na prihodkovni strani n</w:t>
      </w:r>
      <w:r w:rsidR="00515E66" w:rsidRPr="008059C1">
        <w:rPr>
          <w:rFonts w:ascii="Verdana" w:hAnsi="Verdana"/>
        </w:rPr>
        <w:t>iso</w:t>
      </w:r>
      <w:r w:rsidRPr="008059C1">
        <w:rPr>
          <w:rFonts w:ascii="Verdana" w:hAnsi="Verdana"/>
        </w:rPr>
        <w:t xml:space="preserve"> upošteva</w:t>
      </w:r>
      <w:r w:rsidR="00515E66" w:rsidRPr="008059C1">
        <w:rPr>
          <w:rFonts w:ascii="Verdana" w:hAnsi="Verdana"/>
        </w:rPr>
        <w:t>ni</w:t>
      </w:r>
      <w:r w:rsidRPr="008059C1">
        <w:rPr>
          <w:rFonts w:ascii="Verdana" w:hAnsi="Verdana"/>
        </w:rPr>
        <w:t xml:space="preserve"> odbitk</w:t>
      </w:r>
      <w:r w:rsidR="00515E66" w:rsidRPr="008059C1">
        <w:rPr>
          <w:rFonts w:ascii="Verdana" w:hAnsi="Verdana"/>
        </w:rPr>
        <w:t>i</w:t>
      </w:r>
      <w:r w:rsidRPr="008059C1">
        <w:rPr>
          <w:rFonts w:ascii="Verdana" w:hAnsi="Verdana"/>
        </w:rPr>
        <w:t xml:space="preserve"> na račun morebitnih škod. Zavarovanje </w:t>
      </w:r>
      <w:r w:rsidR="00B02BBB" w:rsidRPr="008059C1">
        <w:rPr>
          <w:rFonts w:ascii="Verdana" w:hAnsi="Verdana"/>
        </w:rPr>
        <w:t>osnovnih sredstev (</w:t>
      </w:r>
      <w:r w:rsidRPr="008059C1">
        <w:rPr>
          <w:rFonts w:ascii="Verdana" w:hAnsi="Verdana"/>
        </w:rPr>
        <w:t>zgradb in opreme, strojev</w:t>
      </w:r>
      <w:r w:rsidR="00B02BBB" w:rsidRPr="008059C1">
        <w:rPr>
          <w:rFonts w:ascii="Verdana" w:hAnsi="Verdana"/>
        </w:rPr>
        <w:t xml:space="preserve">) </w:t>
      </w:r>
      <w:r w:rsidRPr="008059C1">
        <w:rPr>
          <w:rFonts w:ascii="Verdana" w:hAnsi="Verdana"/>
        </w:rPr>
        <w:t xml:space="preserve">proti požaru, streli, eksploziji ipd. je </w:t>
      </w:r>
      <w:r w:rsidR="006B708A">
        <w:rPr>
          <w:rFonts w:ascii="Verdana" w:hAnsi="Verdana"/>
        </w:rPr>
        <w:t xml:space="preserve">obračunano </w:t>
      </w:r>
      <w:r w:rsidRPr="008059C1">
        <w:rPr>
          <w:rFonts w:ascii="Verdana" w:hAnsi="Verdana"/>
        </w:rPr>
        <w:t>kot pavšalno zavarovanje</w:t>
      </w:r>
      <w:r w:rsidR="006B708A">
        <w:rPr>
          <w:rFonts w:ascii="Verdana" w:hAnsi="Verdana"/>
        </w:rPr>
        <w:t>, premijska stopnja pa je določena za gospodarstvo kot celoto</w:t>
      </w:r>
      <w:r w:rsidR="009B66FE" w:rsidRPr="008059C1">
        <w:rPr>
          <w:rFonts w:ascii="Verdana" w:hAnsi="Verdana"/>
        </w:rPr>
        <w:t>.</w:t>
      </w:r>
      <w:r w:rsidRPr="008059C1">
        <w:rPr>
          <w:rFonts w:ascii="Verdana" w:hAnsi="Verdana"/>
        </w:rPr>
        <w:t xml:space="preserve"> Za pogonske stroje, ki se gibljejo po javnih cestah in vse vrste vlečenih priključkov je posebej obračunano zavarovanje avtomobilske odgovornosti. Zavarovanje pridelkov je izračunano na osnovi zavarovalne vsote in zavarovalne premije za vsak pridelek posebej.</w:t>
      </w:r>
    </w:p>
    <w:p w:rsidR="00A30098" w:rsidRPr="008059C1" w:rsidRDefault="000F7C8F" w:rsidP="008059C1">
      <w:pPr>
        <w:numPr>
          <w:ilvl w:val="0"/>
          <w:numId w:val="12"/>
        </w:numPr>
        <w:spacing w:after="120"/>
        <w:ind w:left="357" w:hanging="357"/>
        <w:rPr>
          <w:rFonts w:ascii="Verdana" w:hAnsi="Verdana"/>
        </w:rPr>
      </w:pPr>
      <w:r w:rsidRPr="008059C1">
        <w:rPr>
          <w:rFonts w:ascii="Verdana" w:hAnsi="Verdana"/>
        </w:rPr>
        <w:t>S</w:t>
      </w:r>
      <w:r w:rsidR="00A30098" w:rsidRPr="008059C1">
        <w:rPr>
          <w:rFonts w:ascii="Verdana" w:hAnsi="Verdana"/>
        </w:rPr>
        <w:t>trošk</w:t>
      </w:r>
      <w:r w:rsidR="009B66FE" w:rsidRPr="008059C1">
        <w:rPr>
          <w:rFonts w:ascii="Verdana" w:hAnsi="Verdana"/>
        </w:rPr>
        <w:t>i</w:t>
      </w:r>
      <w:r w:rsidR="00A30098" w:rsidRPr="008059C1">
        <w:rPr>
          <w:rFonts w:ascii="Verdana" w:hAnsi="Verdana"/>
        </w:rPr>
        <w:t xml:space="preserve"> glavnega pridelka </w:t>
      </w:r>
      <w:r w:rsidR="00515E66" w:rsidRPr="008059C1">
        <w:rPr>
          <w:rFonts w:ascii="Verdana" w:hAnsi="Verdana"/>
        </w:rPr>
        <w:t xml:space="preserve">so </w:t>
      </w:r>
      <w:r w:rsidRPr="008059C1">
        <w:rPr>
          <w:rFonts w:ascii="Verdana" w:hAnsi="Verdana"/>
        </w:rPr>
        <w:t xml:space="preserve">izračunani kot </w:t>
      </w:r>
      <w:r w:rsidR="00515E66" w:rsidRPr="008059C1">
        <w:rPr>
          <w:rFonts w:ascii="Verdana" w:hAnsi="Verdana"/>
        </w:rPr>
        <w:t>skupni stroški stroškovnega nosilca</w:t>
      </w:r>
      <w:r w:rsidRPr="008059C1">
        <w:rPr>
          <w:rFonts w:ascii="Verdana" w:hAnsi="Verdana"/>
        </w:rPr>
        <w:t>,</w:t>
      </w:r>
      <w:r w:rsidR="00515E66" w:rsidRPr="008059C1">
        <w:rPr>
          <w:rFonts w:ascii="Verdana" w:hAnsi="Verdana"/>
        </w:rPr>
        <w:t xml:space="preserve"> </w:t>
      </w:r>
      <w:r w:rsidR="00A30098" w:rsidRPr="008059C1">
        <w:rPr>
          <w:rFonts w:ascii="Verdana" w:hAnsi="Verdana"/>
        </w:rPr>
        <w:t>zmanjša</w:t>
      </w:r>
      <w:r w:rsidR="00515E66" w:rsidRPr="008059C1">
        <w:rPr>
          <w:rFonts w:ascii="Verdana" w:hAnsi="Verdana"/>
        </w:rPr>
        <w:t>ni</w:t>
      </w:r>
      <w:r w:rsidR="00A30098" w:rsidRPr="008059C1">
        <w:rPr>
          <w:rFonts w:ascii="Verdana" w:hAnsi="Verdana"/>
        </w:rPr>
        <w:t xml:space="preserve"> za vrednost morebitnih stranskih pridelkov. Stranski pridelki so vrednoteni ali po tržni ceni (če imajo značaj tržnega blaga) ali po kaki drugi metodi, ki je navedena posebej</w:t>
      </w:r>
      <w:r w:rsidR="00176E60" w:rsidRPr="008059C1">
        <w:rPr>
          <w:rFonts w:ascii="Verdana" w:hAnsi="Verdana"/>
        </w:rPr>
        <w:t>.</w:t>
      </w:r>
    </w:p>
    <w:p w:rsidR="00677D6D" w:rsidRPr="00F637B0" w:rsidRDefault="00176E60" w:rsidP="008059C1">
      <w:pPr>
        <w:numPr>
          <w:ilvl w:val="0"/>
          <w:numId w:val="12"/>
        </w:numPr>
        <w:spacing w:after="120"/>
        <w:ind w:left="357" w:hanging="357"/>
        <w:rPr>
          <w:rFonts w:ascii="Verdana" w:hAnsi="Verdana"/>
          <w:color w:val="FF0000"/>
        </w:rPr>
      </w:pPr>
      <w:r w:rsidRPr="005E67D4">
        <w:rPr>
          <w:rFonts w:ascii="Verdana" w:hAnsi="Verdana"/>
        </w:rPr>
        <w:lastRenderedPageBreak/>
        <w:t xml:space="preserve">Pred izračunom stroškov glavnega pridelka na enoto proizvodnje, </w:t>
      </w:r>
      <w:r w:rsidR="000F7C8F" w:rsidRPr="005E67D4">
        <w:rPr>
          <w:rFonts w:ascii="Verdana" w:hAnsi="Verdana"/>
        </w:rPr>
        <w:t xml:space="preserve">so </w:t>
      </w:r>
      <w:r w:rsidRPr="005E67D4">
        <w:rPr>
          <w:rFonts w:ascii="Verdana" w:hAnsi="Verdana"/>
        </w:rPr>
        <w:t>skupn</w:t>
      </w:r>
      <w:r w:rsidR="000F7C8F" w:rsidRPr="005E67D4">
        <w:rPr>
          <w:rFonts w:ascii="Verdana" w:hAnsi="Verdana"/>
        </w:rPr>
        <w:t>i</w:t>
      </w:r>
      <w:r w:rsidRPr="005E67D4">
        <w:rPr>
          <w:rFonts w:ascii="Verdana" w:hAnsi="Verdana"/>
        </w:rPr>
        <w:t xml:space="preserve"> strošk</w:t>
      </w:r>
      <w:r w:rsidR="000F7C8F" w:rsidRPr="005E67D4">
        <w:rPr>
          <w:rFonts w:ascii="Verdana" w:hAnsi="Verdana"/>
        </w:rPr>
        <w:t>i</w:t>
      </w:r>
      <w:r w:rsidRPr="005E67D4">
        <w:rPr>
          <w:rFonts w:ascii="Verdana" w:hAnsi="Verdana"/>
        </w:rPr>
        <w:t xml:space="preserve"> glavnega pridelk</w:t>
      </w:r>
      <w:r w:rsidRPr="00D26972">
        <w:rPr>
          <w:rFonts w:ascii="Verdana" w:hAnsi="Verdana"/>
        </w:rPr>
        <w:t>a zmanjša</w:t>
      </w:r>
      <w:r w:rsidR="000F7C8F" w:rsidRPr="00D26972">
        <w:rPr>
          <w:rFonts w:ascii="Verdana" w:hAnsi="Verdana"/>
        </w:rPr>
        <w:t>ni</w:t>
      </w:r>
      <w:r w:rsidRPr="00D26972">
        <w:rPr>
          <w:rFonts w:ascii="Verdana" w:hAnsi="Verdana"/>
        </w:rPr>
        <w:t xml:space="preserve"> še za </w:t>
      </w:r>
      <w:r w:rsidRPr="00D26972">
        <w:rPr>
          <w:rFonts w:ascii="Verdana" w:hAnsi="Verdana"/>
          <w:b/>
        </w:rPr>
        <w:t>subvencij</w:t>
      </w:r>
      <w:r w:rsidR="000F7C8F" w:rsidRPr="00D26972">
        <w:rPr>
          <w:rFonts w:ascii="Verdana" w:hAnsi="Verdana"/>
          <w:b/>
        </w:rPr>
        <w:t>e</w:t>
      </w:r>
      <w:r w:rsidRPr="00D26972">
        <w:rPr>
          <w:rFonts w:ascii="Verdana" w:hAnsi="Verdana"/>
        </w:rPr>
        <w:t>. Med subvencije</w:t>
      </w:r>
      <w:r w:rsidRPr="00D26972">
        <w:rPr>
          <w:rFonts w:ascii="Verdana" w:hAnsi="Verdana"/>
          <w:b/>
        </w:rPr>
        <w:t xml:space="preserve"> </w:t>
      </w:r>
      <w:r w:rsidRPr="00D26972">
        <w:rPr>
          <w:rFonts w:ascii="Verdana" w:hAnsi="Verdana"/>
        </w:rPr>
        <w:t>uvrščamo morebitne dodatke k ceni, neposredna plačila, regrese, ki so neposredno izplačani kmet</w:t>
      </w:r>
      <w:r w:rsidR="008059C1" w:rsidRPr="00D26972">
        <w:rPr>
          <w:rFonts w:ascii="Verdana" w:hAnsi="Verdana"/>
        </w:rPr>
        <w:t>ijskim proizvajalcem</w:t>
      </w:r>
      <w:r w:rsidR="00F41439" w:rsidRPr="00D26972">
        <w:rPr>
          <w:rFonts w:ascii="Verdana" w:hAnsi="Verdana"/>
        </w:rPr>
        <w:t xml:space="preserve">, </w:t>
      </w:r>
      <w:r w:rsidR="00A809BF" w:rsidRPr="00D26972">
        <w:rPr>
          <w:rFonts w:ascii="Verdana" w:hAnsi="Verdana"/>
        </w:rPr>
        <w:t>morebitne druge oblike subvencij, ki imajo splošen značaj in jih lahko pripišemo neposredno stroškovnemu nosilcu</w:t>
      </w:r>
      <w:r w:rsidR="000F5C21">
        <w:rPr>
          <w:rFonts w:ascii="Verdana" w:hAnsi="Verdana"/>
        </w:rPr>
        <w:t>.</w:t>
      </w:r>
      <w:r w:rsidR="00F41439" w:rsidRPr="00D26972">
        <w:rPr>
          <w:rFonts w:ascii="Verdana" w:hAnsi="Verdana"/>
        </w:rPr>
        <w:t xml:space="preserve"> </w:t>
      </w:r>
      <w:r w:rsidR="00A809BF" w:rsidRPr="00D26972">
        <w:rPr>
          <w:rFonts w:ascii="Verdana" w:hAnsi="Verdana"/>
        </w:rPr>
        <w:t>Pregled vrst in višin subvencij po letih in pridelkih</w:t>
      </w:r>
      <w:r w:rsidR="000F7C8F" w:rsidRPr="00D26972">
        <w:rPr>
          <w:rFonts w:ascii="Verdana" w:hAnsi="Verdana"/>
        </w:rPr>
        <w:t>, ki so upoštevane v kalkulacijah,</w:t>
      </w:r>
      <w:r w:rsidR="00A809BF" w:rsidRPr="00D26972">
        <w:rPr>
          <w:rFonts w:ascii="Verdana" w:hAnsi="Verdana"/>
        </w:rPr>
        <w:t xml:space="preserve"> </w:t>
      </w:r>
      <w:r w:rsidR="000F7C8F" w:rsidRPr="00D26972">
        <w:rPr>
          <w:rFonts w:ascii="Verdana" w:hAnsi="Verdana"/>
        </w:rPr>
        <w:t xml:space="preserve">je </w:t>
      </w:r>
      <w:r w:rsidR="00A809BF" w:rsidRPr="00D26972">
        <w:rPr>
          <w:rFonts w:ascii="Verdana" w:hAnsi="Verdana"/>
        </w:rPr>
        <w:t>prikaz</w:t>
      </w:r>
      <w:r w:rsidR="000F7C8F" w:rsidRPr="00D26972">
        <w:rPr>
          <w:rFonts w:ascii="Verdana" w:hAnsi="Verdana"/>
        </w:rPr>
        <w:t>an</w:t>
      </w:r>
      <w:r w:rsidR="00A809BF" w:rsidRPr="00D26972">
        <w:rPr>
          <w:rFonts w:ascii="Verdana" w:hAnsi="Verdana"/>
        </w:rPr>
        <w:t xml:space="preserve"> posebej</w:t>
      </w:r>
      <w:r w:rsidR="00F8493E">
        <w:rPr>
          <w:rFonts w:ascii="Verdana" w:hAnsi="Verdana"/>
        </w:rPr>
        <w:t xml:space="preserve"> v nadaljevanju</w:t>
      </w:r>
      <w:r w:rsidR="00A809BF" w:rsidRPr="00D26972">
        <w:rPr>
          <w:rFonts w:ascii="Verdana" w:hAnsi="Verdana"/>
        </w:rPr>
        <w:t>.</w:t>
      </w:r>
      <w:r w:rsidR="00F454FE" w:rsidRPr="004A01B2">
        <w:rPr>
          <w:rFonts w:ascii="Verdana" w:hAnsi="Verdana"/>
          <w:color w:val="1F497D"/>
        </w:rPr>
        <w:t xml:space="preserve"> </w:t>
      </w:r>
      <w:r w:rsidR="00A809BF" w:rsidRPr="005E67D4">
        <w:rPr>
          <w:rFonts w:ascii="Verdana" w:hAnsi="Verdana"/>
        </w:rPr>
        <w:t xml:space="preserve">Investicijske podpore, nadomestila za težje pridelovalne </w:t>
      </w:r>
      <w:r w:rsidR="000F7C8F" w:rsidRPr="005E67D4">
        <w:rPr>
          <w:rFonts w:ascii="Verdana" w:hAnsi="Verdana"/>
        </w:rPr>
        <w:t xml:space="preserve">razmere </w:t>
      </w:r>
      <w:r w:rsidR="00A809BF" w:rsidRPr="005E67D4">
        <w:rPr>
          <w:rFonts w:ascii="Verdana" w:hAnsi="Verdana"/>
        </w:rPr>
        <w:t>in okoljska plačila niso vključen</w:t>
      </w:r>
      <w:r w:rsidR="009B66FE" w:rsidRPr="005E67D4">
        <w:rPr>
          <w:rFonts w:ascii="Verdana" w:hAnsi="Verdana"/>
        </w:rPr>
        <w:t>a</w:t>
      </w:r>
      <w:r w:rsidR="00A809BF" w:rsidRPr="005E67D4">
        <w:rPr>
          <w:rFonts w:ascii="Verdana" w:hAnsi="Verdana"/>
        </w:rPr>
        <w:t xml:space="preserve"> kot odbitna postavka. Ker je v živinoreji domača krma </w:t>
      </w:r>
      <w:r w:rsidR="00B9745B" w:rsidRPr="005E67D4">
        <w:rPr>
          <w:rFonts w:ascii="Verdana" w:hAnsi="Verdana"/>
        </w:rPr>
        <w:t xml:space="preserve">(npr. koruzna silaža) </w:t>
      </w:r>
      <w:r w:rsidR="00A809BF" w:rsidRPr="005E67D4">
        <w:rPr>
          <w:rFonts w:ascii="Verdana" w:hAnsi="Verdana"/>
        </w:rPr>
        <w:t xml:space="preserve">na stroškovni strani vrednotena po polni lastni ceni (brez upoštevanja morebitnih subvencij), so morebitne subvencije </w:t>
      </w:r>
      <w:r w:rsidR="00B9745B" w:rsidRPr="005E67D4">
        <w:rPr>
          <w:rFonts w:ascii="Verdana" w:hAnsi="Verdana"/>
        </w:rPr>
        <w:t xml:space="preserve">za pridelavo krme (npr. za koruzno silažo), prištete k subvencijam </w:t>
      </w:r>
      <w:r w:rsidR="009B66FE" w:rsidRPr="005E67D4">
        <w:rPr>
          <w:rFonts w:ascii="Verdana" w:hAnsi="Verdana"/>
        </w:rPr>
        <w:t xml:space="preserve">pri </w:t>
      </w:r>
      <w:r w:rsidR="00B9745B" w:rsidRPr="005E67D4">
        <w:rPr>
          <w:rFonts w:ascii="Verdana" w:hAnsi="Verdana"/>
        </w:rPr>
        <w:t>končne</w:t>
      </w:r>
      <w:r w:rsidR="009B66FE" w:rsidRPr="005E67D4">
        <w:rPr>
          <w:rFonts w:ascii="Verdana" w:hAnsi="Verdana"/>
        </w:rPr>
        <w:t>m</w:t>
      </w:r>
      <w:r w:rsidR="00B9745B" w:rsidRPr="005E67D4">
        <w:rPr>
          <w:rFonts w:ascii="Verdana" w:hAnsi="Verdana"/>
        </w:rPr>
        <w:t xml:space="preserve"> proizvod</w:t>
      </w:r>
      <w:r w:rsidR="009B66FE" w:rsidRPr="005E67D4">
        <w:rPr>
          <w:rFonts w:ascii="Verdana" w:hAnsi="Verdana"/>
        </w:rPr>
        <w:t>u</w:t>
      </w:r>
      <w:r w:rsidR="00B9745B" w:rsidRPr="005E67D4">
        <w:rPr>
          <w:rFonts w:ascii="Verdana" w:hAnsi="Verdana"/>
        </w:rPr>
        <w:t xml:space="preserve"> (npr. mleku). Pripadajoči delež subvencij vmesnega proizvoda, ki je pripisan </w:t>
      </w:r>
      <w:r w:rsidR="00B9745B" w:rsidRPr="00F637B0">
        <w:rPr>
          <w:rFonts w:ascii="Verdana" w:hAnsi="Verdana"/>
        </w:rPr>
        <w:t>končnemu proizvodu</w:t>
      </w:r>
      <w:r w:rsidR="000F7C8F" w:rsidRPr="00F637B0">
        <w:rPr>
          <w:rFonts w:ascii="Verdana" w:hAnsi="Verdana"/>
        </w:rPr>
        <w:t>,</w:t>
      </w:r>
      <w:r w:rsidR="00B9745B" w:rsidRPr="00F637B0">
        <w:rPr>
          <w:rFonts w:ascii="Verdana" w:hAnsi="Verdana"/>
        </w:rPr>
        <w:t xml:space="preserve"> je izračunan na podlagi krmnega obroka. </w:t>
      </w:r>
    </w:p>
    <w:p w:rsidR="00A811A2" w:rsidRPr="003E2357" w:rsidRDefault="00536E54" w:rsidP="00A811A2">
      <w:pPr>
        <w:numPr>
          <w:ilvl w:val="0"/>
          <w:numId w:val="12"/>
        </w:numPr>
        <w:spacing w:after="120"/>
        <w:ind w:left="357" w:hanging="357"/>
      </w:pPr>
      <w:r w:rsidRPr="003E2357">
        <w:rPr>
          <w:rFonts w:ascii="Verdana" w:hAnsi="Verdana"/>
        </w:rPr>
        <w:t>Podlaga</w:t>
      </w:r>
      <w:r w:rsidR="00DD6A94" w:rsidRPr="003E2357">
        <w:rPr>
          <w:rFonts w:ascii="Verdana" w:hAnsi="Verdana"/>
        </w:rPr>
        <w:t xml:space="preserve"> za </w:t>
      </w:r>
      <w:r w:rsidR="00361387" w:rsidRPr="003E2357">
        <w:rPr>
          <w:rFonts w:ascii="Verdana" w:hAnsi="Verdana"/>
        </w:rPr>
        <w:t xml:space="preserve">določitev plačil </w:t>
      </w:r>
      <w:r w:rsidR="00405944" w:rsidRPr="003E2357">
        <w:rPr>
          <w:rFonts w:ascii="Verdana" w:hAnsi="Verdana"/>
        </w:rPr>
        <w:t xml:space="preserve">iz sheme </w:t>
      </w:r>
      <w:r w:rsidR="00DD6A94" w:rsidRPr="003E2357">
        <w:rPr>
          <w:rFonts w:ascii="Verdana" w:hAnsi="Verdana"/>
        </w:rPr>
        <w:t>neposrednih plačil za let</w:t>
      </w:r>
      <w:r w:rsidR="008C142F">
        <w:rPr>
          <w:rFonts w:ascii="Verdana" w:hAnsi="Verdana"/>
        </w:rPr>
        <w:t>a</w:t>
      </w:r>
      <w:r w:rsidR="00DD6A94" w:rsidRPr="003E2357">
        <w:rPr>
          <w:rFonts w:ascii="Verdana" w:hAnsi="Verdana"/>
        </w:rPr>
        <w:t xml:space="preserve"> 2015</w:t>
      </w:r>
      <w:r w:rsidR="008C142F">
        <w:rPr>
          <w:rFonts w:ascii="Verdana" w:hAnsi="Verdana"/>
        </w:rPr>
        <w:t xml:space="preserve">, </w:t>
      </w:r>
      <w:r w:rsidR="00D2236E" w:rsidRPr="003E2357">
        <w:rPr>
          <w:rFonts w:ascii="Verdana" w:hAnsi="Verdana"/>
        </w:rPr>
        <w:t xml:space="preserve">2016 </w:t>
      </w:r>
      <w:r w:rsidR="008C142F">
        <w:rPr>
          <w:rFonts w:ascii="Verdana" w:hAnsi="Verdana"/>
        </w:rPr>
        <w:t xml:space="preserve">in 2017 </w:t>
      </w:r>
      <w:r w:rsidR="00A815E9" w:rsidRPr="003E2357">
        <w:rPr>
          <w:rFonts w:ascii="Verdana" w:hAnsi="Verdana"/>
        </w:rPr>
        <w:t>je</w:t>
      </w:r>
      <w:r w:rsidR="00F8493E" w:rsidRPr="003E2357">
        <w:rPr>
          <w:rFonts w:ascii="Verdana" w:hAnsi="Verdana"/>
        </w:rPr>
        <w:t xml:space="preserve"> </w:t>
      </w:r>
      <w:r w:rsidRPr="003E2357">
        <w:rPr>
          <w:rFonts w:ascii="Verdana" w:hAnsi="Verdana"/>
        </w:rPr>
        <w:t>Uredb</w:t>
      </w:r>
      <w:r w:rsidR="00A815E9" w:rsidRPr="003E2357">
        <w:rPr>
          <w:rFonts w:ascii="Verdana" w:hAnsi="Verdana"/>
        </w:rPr>
        <w:t>a</w:t>
      </w:r>
      <w:r w:rsidRPr="003E2357">
        <w:rPr>
          <w:rFonts w:ascii="Verdana" w:hAnsi="Verdana"/>
        </w:rPr>
        <w:t xml:space="preserve"> o shemah neposrednih plačil (UL RS št. 2/15, 23/15, 30/15</w:t>
      </w:r>
      <w:r w:rsidR="00010989" w:rsidRPr="003E2357">
        <w:rPr>
          <w:rFonts w:ascii="Verdana" w:hAnsi="Verdana"/>
        </w:rPr>
        <w:t>, 103/15</w:t>
      </w:r>
      <w:r w:rsidR="00D2236E" w:rsidRPr="003E2357">
        <w:rPr>
          <w:rFonts w:ascii="Verdana" w:hAnsi="Verdana"/>
        </w:rPr>
        <w:t>, 36/16</w:t>
      </w:r>
      <w:r w:rsidR="00CB4B80">
        <w:rPr>
          <w:rFonts w:ascii="Verdana" w:hAnsi="Verdana"/>
        </w:rPr>
        <w:t>, 84/16</w:t>
      </w:r>
      <w:r w:rsidR="001D561F">
        <w:rPr>
          <w:rFonts w:ascii="Verdana" w:hAnsi="Verdana"/>
        </w:rPr>
        <w:t>, 23/17</w:t>
      </w:r>
      <w:r w:rsidRPr="003E2357">
        <w:rPr>
          <w:rFonts w:ascii="Verdana" w:hAnsi="Verdana"/>
        </w:rPr>
        <w:t xml:space="preserve">) </w:t>
      </w:r>
      <w:r w:rsidR="002C4664" w:rsidRPr="003E2357">
        <w:rPr>
          <w:rFonts w:ascii="Verdana" w:hAnsi="Verdana"/>
        </w:rPr>
        <w:t>ter</w:t>
      </w:r>
      <w:r w:rsidRPr="003E2357">
        <w:rPr>
          <w:rFonts w:ascii="Verdana" w:hAnsi="Verdana"/>
        </w:rPr>
        <w:t xml:space="preserve"> </w:t>
      </w:r>
      <w:r w:rsidR="00A815E9" w:rsidRPr="003E2357">
        <w:rPr>
          <w:rFonts w:ascii="Verdana" w:hAnsi="Verdana"/>
        </w:rPr>
        <w:t>višin</w:t>
      </w:r>
      <w:r w:rsidR="008625F2" w:rsidRPr="003E2357">
        <w:rPr>
          <w:rFonts w:ascii="Verdana" w:hAnsi="Verdana"/>
        </w:rPr>
        <w:t>a</w:t>
      </w:r>
      <w:r w:rsidR="005E67D4" w:rsidRPr="003E2357">
        <w:rPr>
          <w:rFonts w:ascii="Verdana" w:hAnsi="Verdana"/>
        </w:rPr>
        <w:t xml:space="preserve"> plačil, </w:t>
      </w:r>
      <w:r w:rsidR="00CA7ED1" w:rsidRPr="003E2357">
        <w:rPr>
          <w:rFonts w:ascii="Verdana" w:hAnsi="Verdana"/>
        </w:rPr>
        <w:t xml:space="preserve">ki </w:t>
      </w:r>
      <w:r w:rsidR="008625F2" w:rsidRPr="003E2357">
        <w:rPr>
          <w:rFonts w:ascii="Verdana" w:hAnsi="Verdana"/>
        </w:rPr>
        <w:t>je</w:t>
      </w:r>
      <w:r w:rsidR="00CA7ED1" w:rsidRPr="003E2357">
        <w:rPr>
          <w:rFonts w:ascii="Verdana" w:hAnsi="Verdana"/>
        </w:rPr>
        <w:t xml:space="preserve"> </w:t>
      </w:r>
      <w:r w:rsidR="00361387" w:rsidRPr="003E2357">
        <w:rPr>
          <w:rFonts w:ascii="Verdana" w:hAnsi="Verdana"/>
        </w:rPr>
        <w:t xml:space="preserve">bila za posamezne kmetijske proizvode v skladu z ukrepi kmetijske politike </w:t>
      </w:r>
      <w:r w:rsidR="005E67D4" w:rsidRPr="003E2357">
        <w:rPr>
          <w:rFonts w:ascii="Verdana" w:hAnsi="Verdana"/>
        </w:rPr>
        <w:t xml:space="preserve">v </w:t>
      </w:r>
      <w:r w:rsidR="00405944" w:rsidRPr="003E2357">
        <w:rPr>
          <w:rFonts w:ascii="Verdana" w:hAnsi="Verdana"/>
        </w:rPr>
        <w:t xml:space="preserve">programskem obdobju </w:t>
      </w:r>
      <w:r w:rsidR="005E67D4" w:rsidRPr="003E2357">
        <w:rPr>
          <w:rFonts w:ascii="Verdana" w:hAnsi="Verdana"/>
        </w:rPr>
        <w:t>2007 – 201</w:t>
      </w:r>
      <w:r w:rsidR="00ED5968" w:rsidRPr="003E2357">
        <w:rPr>
          <w:rFonts w:ascii="Verdana" w:hAnsi="Verdana"/>
        </w:rPr>
        <w:t>3</w:t>
      </w:r>
      <w:r w:rsidRPr="003E2357">
        <w:rPr>
          <w:rFonts w:ascii="Verdana" w:hAnsi="Verdana"/>
        </w:rPr>
        <w:t xml:space="preserve"> </w:t>
      </w:r>
      <w:r w:rsidR="00A815E9" w:rsidRPr="003E2357">
        <w:rPr>
          <w:rFonts w:ascii="Verdana" w:hAnsi="Verdana"/>
        </w:rPr>
        <w:t>upoštevan</w:t>
      </w:r>
      <w:r w:rsidR="008625F2" w:rsidRPr="003E2357">
        <w:rPr>
          <w:rFonts w:ascii="Verdana" w:hAnsi="Verdana"/>
        </w:rPr>
        <w:t>a</w:t>
      </w:r>
      <w:r w:rsidR="00A815E9" w:rsidRPr="003E2357">
        <w:rPr>
          <w:rFonts w:ascii="Verdana" w:hAnsi="Verdana"/>
        </w:rPr>
        <w:t xml:space="preserve"> </w:t>
      </w:r>
      <w:r w:rsidR="00F8493E" w:rsidRPr="003E2357">
        <w:rPr>
          <w:rFonts w:ascii="Verdana" w:hAnsi="Verdana"/>
        </w:rPr>
        <w:t xml:space="preserve">v kalkulacijah </w:t>
      </w:r>
      <w:r w:rsidR="009F4B00" w:rsidRPr="003E2357">
        <w:rPr>
          <w:rFonts w:ascii="Verdana" w:hAnsi="Verdana"/>
        </w:rPr>
        <w:t xml:space="preserve">v </w:t>
      </w:r>
      <w:r w:rsidRPr="003E2357">
        <w:rPr>
          <w:rFonts w:ascii="Verdana" w:hAnsi="Verdana"/>
        </w:rPr>
        <w:t>letu 2014</w:t>
      </w:r>
      <w:r w:rsidR="005E67D4" w:rsidRPr="003E2357">
        <w:rPr>
          <w:rFonts w:ascii="Verdana" w:hAnsi="Verdana"/>
        </w:rPr>
        <w:t xml:space="preserve">. </w:t>
      </w:r>
      <w:r w:rsidR="00572844" w:rsidRPr="003E2357">
        <w:rPr>
          <w:rFonts w:ascii="Verdana" w:hAnsi="Verdana"/>
        </w:rPr>
        <w:t>R</w:t>
      </w:r>
      <w:r w:rsidR="005E67D4" w:rsidRPr="003E2357">
        <w:rPr>
          <w:rFonts w:ascii="Verdana" w:hAnsi="Verdana"/>
        </w:rPr>
        <w:t>egionalno plačilo za njive in travinje</w:t>
      </w:r>
      <w:r w:rsidR="006E777B" w:rsidRPr="003E2357">
        <w:rPr>
          <w:rFonts w:ascii="Verdana" w:hAnsi="Verdana"/>
        </w:rPr>
        <w:t xml:space="preserve"> ter </w:t>
      </w:r>
      <w:r w:rsidR="00572844" w:rsidRPr="003E2357">
        <w:rPr>
          <w:rFonts w:ascii="Verdana" w:hAnsi="Verdana"/>
        </w:rPr>
        <w:t>zgodovinski dodatki k plačilnim pravicam</w:t>
      </w:r>
      <w:r w:rsidR="00F637B0" w:rsidRPr="003E2357">
        <w:rPr>
          <w:rFonts w:ascii="Verdana" w:hAnsi="Verdana"/>
        </w:rPr>
        <w:t>,</w:t>
      </w:r>
      <w:r w:rsidR="00572844" w:rsidRPr="003E2357">
        <w:rPr>
          <w:rFonts w:ascii="Verdana" w:hAnsi="Verdana"/>
        </w:rPr>
        <w:t xml:space="preserve"> </w:t>
      </w:r>
      <w:r w:rsidR="00677D6D" w:rsidRPr="003E2357">
        <w:rPr>
          <w:rFonts w:ascii="Verdana" w:hAnsi="Verdana"/>
        </w:rPr>
        <w:t>upoštevani za leto</w:t>
      </w:r>
      <w:r w:rsidR="006E777B" w:rsidRPr="003E2357">
        <w:rPr>
          <w:rFonts w:ascii="Verdana" w:hAnsi="Verdana"/>
        </w:rPr>
        <w:t xml:space="preserve"> 2014</w:t>
      </w:r>
      <w:r w:rsidR="005E67D4" w:rsidRPr="003E2357">
        <w:rPr>
          <w:rFonts w:ascii="Verdana" w:hAnsi="Verdana"/>
        </w:rPr>
        <w:t>, so</w:t>
      </w:r>
      <w:r w:rsidR="001231AC" w:rsidRPr="003E2357">
        <w:rPr>
          <w:rFonts w:ascii="Verdana" w:hAnsi="Verdana"/>
        </w:rPr>
        <w:t xml:space="preserve"> za posamezn</w:t>
      </w:r>
      <w:r w:rsidR="006E777B" w:rsidRPr="003E2357">
        <w:rPr>
          <w:rFonts w:ascii="Verdana" w:hAnsi="Verdana"/>
        </w:rPr>
        <w:t>e</w:t>
      </w:r>
      <w:r w:rsidR="001231AC" w:rsidRPr="003E2357">
        <w:rPr>
          <w:rFonts w:ascii="Verdana" w:hAnsi="Verdana"/>
        </w:rPr>
        <w:t xml:space="preserve"> proizvod</w:t>
      </w:r>
      <w:r w:rsidR="006E777B" w:rsidRPr="003E2357">
        <w:rPr>
          <w:rFonts w:ascii="Verdana" w:hAnsi="Verdana"/>
        </w:rPr>
        <w:t>e</w:t>
      </w:r>
      <w:r w:rsidR="001231AC" w:rsidRPr="003E2357">
        <w:rPr>
          <w:rFonts w:ascii="Verdana" w:hAnsi="Verdana"/>
        </w:rPr>
        <w:t xml:space="preserve"> preračunan</w:t>
      </w:r>
      <w:r w:rsidR="006E777B" w:rsidRPr="003E2357">
        <w:rPr>
          <w:rFonts w:ascii="Verdana" w:hAnsi="Verdana"/>
        </w:rPr>
        <w:t>i</w:t>
      </w:r>
      <w:r w:rsidR="00CA7ED1" w:rsidRPr="003E2357">
        <w:rPr>
          <w:rFonts w:ascii="Verdana" w:hAnsi="Verdana"/>
        </w:rPr>
        <w:t xml:space="preserve"> na hektar upravičenih površin, kar predstavlja začetno vrednost na enoto plačilne pravice. </w:t>
      </w:r>
      <w:r w:rsidR="001231AC" w:rsidRPr="003E2357">
        <w:rPr>
          <w:rFonts w:ascii="Verdana" w:hAnsi="Verdana"/>
        </w:rPr>
        <w:t>V živinoreji je število upravičenih površin enako številu hektarjev, ki so potrebni za pridelavo krme ob pre</w:t>
      </w:r>
      <w:r w:rsidR="00993139" w:rsidRPr="003E2357">
        <w:rPr>
          <w:rFonts w:ascii="Verdana" w:hAnsi="Verdana"/>
        </w:rPr>
        <w:t>dpostavljenih višinah pridelkov</w:t>
      </w:r>
      <w:r w:rsidR="006E777B" w:rsidRPr="003E2357">
        <w:rPr>
          <w:rFonts w:ascii="Verdana" w:hAnsi="Verdana"/>
        </w:rPr>
        <w:t xml:space="preserve"> in predvidenem krmnem obroku</w:t>
      </w:r>
      <w:r w:rsidR="00993139" w:rsidRPr="003E2357">
        <w:rPr>
          <w:rFonts w:ascii="Verdana" w:hAnsi="Verdana"/>
        </w:rPr>
        <w:t>, morebitne dodatne površine za tržno rastlinsko pridelavo</w:t>
      </w:r>
      <w:r w:rsidR="001231AC" w:rsidRPr="003E2357">
        <w:rPr>
          <w:rFonts w:ascii="Verdana" w:hAnsi="Verdana"/>
        </w:rPr>
        <w:t xml:space="preserve"> </w:t>
      </w:r>
      <w:r w:rsidR="00CA7ED1" w:rsidRPr="003E2357">
        <w:rPr>
          <w:rFonts w:ascii="Verdana" w:hAnsi="Verdana"/>
        </w:rPr>
        <w:t xml:space="preserve">pa </w:t>
      </w:r>
      <w:r w:rsidR="00993139" w:rsidRPr="003E2357">
        <w:rPr>
          <w:rFonts w:ascii="Verdana" w:hAnsi="Verdana"/>
        </w:rPr>
        <w:t>niso upoštevane.</w:t>
      </w:r>
      <w:r w:rsidR="00C562A7" w:rsidRPr="003E2357">
        <w:rPr>
          <w:rFonts w:ascii="Verdana" w:hAnsi="Verdana"/>
        </w:rPr>
        <w:t xml:space="preserve"> </w:t>
      </w:r>
      <w:r w:rsidR="00112726" w:rsidRPr="003E2357">
        <w:rPr>
          <w:rFonts w:ascii="Verdana" w:hAnsi="Verdana"/>
        </w:rPr>
        <w:t xml:space="preserve">Plačila za </w:t>
      </w:r>
      <w:r w:rsidR="006E4E2E" w:rsidRPr="003E2357">
        <w:rPr>
          <w:rFonts w:ascii="Verdana" w:hAnsi="Verdana"/>
        </w:rPr>
        <w:t>let</w:t>
      </w:r>
      <w:r w:rsidR="008C142F">
        <w:rPr>
          <w:rFonts w:ascii="Verdana" w:hAnsi="Verdana"/>
        </w:rPr>
        <w:t>a</w:t>
      </w:r>
      <w:r w:rsidR="006E4E2E" w:rsidRPr="003E2357">
        <w:rPr>
          <w:rFonts w:ascii="Verdana" w:hAnsi="Verdana"/>
        </w:rPr>
        <w:t xml:space="preserve"> 2015</w:t>
      </w:r>
      <w:r w:rsidR="008C142F">
        <w:rPr>
          <w:rFonts w:ascii="Verdana" w:hAnsi="Verdana"/>
        </w:rPr>
        <w:t>, 2</w:t>
      </w:r>
      <w:r w:rsidR="00D2236E" w:rsidRPr="003E2357">
        <w:rPr>
          <w:rFonts w:ascii="Verdana" w:hAnsi="Verdana"/>
        </w:rPr>
        <w:t xml:space="preserve">016 </w:t>
      </w:r>
      <w:r w:rsidR="008C142F">
        <w:rPr>
          <w:rFonts w:ascii="Verdana" w:hAnsi="Verdana"/>
        </w:rPr>
        <w:t xml:space="preserve">in 2017 </w:t>
      </w:r>
      <w:r w:rsidR="006E4E2E" w:rsidRPr="003E2357">
        <w:rPr>
          <w:rFonts w:ascii="Verdana" w:hAnsi="Verdana"/>
        </w:rPr>
        <w:t xml:space="preserve">so </w:t>
      </w:r>
      <w:r w:rsidR="00112726" w:rsidRPr="003E2357">
        <w:rPr>
          <w:rFonts w:ascii="Verdana" w:hAnsi="Verdana"/>
        </w:rPr>
        <w:t>ocenjena</w:t>
      </w:r>
      <w:r w:rsidR="00C562A7" w:rsidRPr="003E2357">
        <w:rPr>
          <w:rFonts w:ascii="Verdana" w:hAnsi="Verdana"/>
        </w:rPr>
        <w:t xml:space="preserve"> </w:t>
      </w:r>
      <w:r w:rsidR="006E4E2E" w:rsidRPr="003E2357">
        <w:rPr>
          <w:rFonts w:ascii="Verdana" w:hAnsi="Verdana"/>
        </w:rPr>
        <w:t xml:space="preserve">na podlagi </w:t>
      </w:r>
      <w:r w:rsidR="003A50DF" w:rsidRPr="003E2357">
        <w:rPr>
          <w:rFonts w:ascii="Verdana" w:hAnsi="Verdana"/>
        </w:rPr>
        <w:t xml:space="preserve">določil </w:t>
      </w:r>
      <w:r w:rsidR="00C562A7" w:rsidRPr="003E2357">
        <w:rPr>
          <w:rFonts w:ascii="Verdana" w:hAnsi="Verdana"/>
        </w:rPr>
        <w:t>Uredb</w:t>
      </w:r>
      <w:r w:rsidR="006E4E2E" w:rsidRPr="003E2357">
        <w:rPr>
          <w:rFonts w:ascii="Verdana" w:hAnsi="Verdana"/>
        </w:rPr>
        <w:t>e</w:t>
      </w:r>
      <w:r w:rsidR="00F637B0" w:rsidRPr="003E2357">
        <w:rPr>
          <w:rFonts w:ascii="Verdana" w:hAnsi="Verdana"/>
        </w:rPr>
        <w:t xml:space="preserve"> o shemi neposrednih plačil</w:t>
      </w:r>
      <w:r w:rsidR="00C562A7" w:rsidRPr="003E2357">
        <w:rPr>
          <w:rFonts w:ascii="Verdana" w:hAnsi="Verdana"/>
        </w:rPr>
        <w:t xml:space="preserve"> ter v živinoreji skladno </w:t>
      </w:r>
      <w:r w:rsidR="00677D6D" w:rsidRPr="003E2357">
        <w:rPr>
          <w:rFonts w:ascii="Verdana" w:hAnsi="Verdana"/>
        </w:rPr>
        <w:t>s</w:t>
      </w:r>
      <w:r w:rsidR="00C562A7" w:rsidRPr="003E2357">
        <w:rPr>
          <w:rFonts w:ascii="Verdana" w:hAnsi="Verdana"/>
        </w:rPr>
        <w:t xml:space="preserve"> kalkulacijami preračunana na glavo. </w:t>
      </w:r>
      <w:r w:rsidR="006E4E2E" w:rsidRPr="003E2357">
        <w:rPr>
          <w:rFonts w:ascii="Verdana" w:hAnsi="Verdana"/>
        </w:rPr>
        <w:t xml:space="preserve">Pri ocenah </w:t>
      </w:r>
      <w:r w:rsidR="003A50DF" w:rsidRPr="003E2357">
        <w:rPr>
          <w:rFonts w:ascii="Verdana" w:hAnsi="Verdana"/>
        </w:rPr>
        <w:t xml:space="preserve">višine plačil </w:t>
      </w:r>
      <w:r w:rsidR="006E4E2E" w:rsidRPr="003E2357">
        <w:rPr>
          <w:rFonts w:ascii="Verdana" w:hAnsi="Verdana"/>
        </w:rPr>
        <w:t>so bile upoštevane osnovne predpostavke, ki so prikazane v preglednici 1.</w:t>
      </w:r>
    </w:p>
    <w:p w:rsidR="00A811A2" w:rsidRPr="00B55054" w:rsidRDefault="00A811A2" w:rsidP="00F81EB6">
      <w:pPr>
        <w:pStyle w:val="Napis"/>
        <w:ind w:left="1701" w:hanging="1701"/>
        <w:jc w:val="both"/>
      </w:pPr>
      <w:r w:rsidRPr="00B55054">
        <w:t xml:space="preserve">Preglednica </w:t>
      </w:r>
      <w:r w:rsidR="001D561F">
        <w:fldChar w:fldCharType="begin"/>
      </w:r>
      <w:r w:rsidR="001D561F">
        <w:instrText xml:space="preserve"> SEQ Preglednica \* ARABIC </w:instrText>
      </w:r>
      <w:r w:rsidR="001D561F">
        <w:fldChar w:fldCharType="separate"/>
      </w:r>
      <w:r w:rsidR="00795023" w:rsidRPr="00B55054">
        <w:rPr>
          <w:noProof/>
        </w:rPr>
        <w:t>1</w:t>
      </w:r>
      <w:r w:rsidR="001D561F">
        <w:rPr>
          <w:noProof/>
        </w:rPr>
        <w:fldChar w:fldCharType="end"/>
      </w:r>
      <w:r w:rsidRPr="00B55054">
        <w:t xml:space="preserve">: Osnovne predpostavke upoštevane pri oceni višine </w:t>
      </w:r>
      <w:r w:rsidR="00BF1D27" w:rsidRPr="00B55054">
        <w:t xml:space="preserve">neposrednih </w:t>
      </w:r>
      <w:r w:rsidRPr="00B55054">
        <w:t>plačil v let</w:t>
      </w:r>
      <w:r w:rsidR="007413DD" w:rsidRPr="00B55054">
        <w:t xml:space="preserve">ih </w:t>
      </w:r>
      <w:r w:rsidR="008C142F">
        <w:t>2015, 2</w:t>
      </w:r>
      <w:r w:rsidR="007413DD" w:rsidRPr="00B55054">
        <w:t>016</w:t>
      </w:r>
      <w:r w:rsidR="008C142F">
        <w:t>, 2017 (prva ocena)</w:t>
      </w:r>
    </w:p>
    <w:tbl>
      <w:tblPr>
        <w:tblW w:w="0" w:type="auto"/>
        <w:jc w:val="center"/>
        <w:tblInd w:w="-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1"/>
        <w:gridCol w:w="1199"/>
        <w:gridCol w:w="1199"/>
        <w:gridCol w:w="1199"/>
      </w:tblGrid>
      <w:tr w:rsidR="008C142F" w:rsidRPr="00B55054" w:rsidTr="003E2894">
        <w:trPr>
          <w:trHeight w:val="845"/>
          <w:jc w:val="center"/>
        </w:trPr>
        <w:tc>
          <w:tcPr>
            <w:tcW w:w="4721" w:type="dxa"/>
            <w:shd w:val="clear" w:color="auto" w:fill="auto"/>
            <w:vAlign w:val="center"/>
          </w:tcPr>
          <w:p w:rsidR="008C142F" w:rsidRPr="00B55054" w:rsidRDefault="008C142F" w:rsidP="007413DD">
            <w:pPr>
              <w:pStyle w:val="Telobesedila"/>
              <w:jc w:val="left"/>
              <w:rPr>
                <w:sz w:val="18"/>
                <w:szCs w:val="18"/>
              </w:rPr>
            </w:pPr>
          </w:p>
        </w:tc>
        <w:tc>
          <w:tcPr>
            <w:tcW w:w="1199" w:type="dxa"/>
            <w:shd w:val="clear" w:color="auto" w:fill="auto"/>
            <w:vAlign w:val="center"/>
          </w:tcPr>
          <w:p w:rsidR="008C142F" w:rsidRPr="00B55054" w:rsidRDefault="008C142F" w:rsidP="007413DD">
            <w:pPr>
              <w:pStyle w:val="Telobesedila"/>
              <w:jc w:val="center"/>
              <w:rPr>
                <w:b/>
                <w:sz w:val="18"/>
                <w:szCs w:val="18"/>
              </w:rPr>
            </w:pPr>
            <w:r w:rsidRPr="00B55054">
              <w:rPr>
                <w:b/>
                <w:sz w:val="18"/>
                <w:szCs w:val="18"/>
              </w:rPr>
              <w:t>2015</w:t>
            </w:r>
          </w:p>
        </w:tc>
        <w:tc>
          <w:tcPr>
            <w:tcW w:w="1199" w:type="dxa"/>
            <w:vAlign w:val="center"/>
          </w:tcPr>
          <w:p w:rsidR="008C142F" w:rsidRPr="00B55054" w:rsidRDefault="008C142F" w:rsidP="003E2357">
            <w:pPr>
              <w:pStyle w:val="Telobesedila"/>
              <w:jc w:val="center"/>
              <w:rPr>
                <w:b/>
                <w:sz w:val="18"/>
                <w:szCs w:val="18"/>
              </w:rPr>
            </w:pPr>
            <w:r w:rsidRPr="00B55054">
              <w:rPr>
                <w:b/>
                <w:sz w:val="18"/>
                <w:szCs w:val="18"/>
              </w:rPr>
              <w:t>2016</w:t>
            </w:r>
          </w:p>
        </w:tc>
        <w:tc>
          <w:tcPr>
            <w:tcW w:w="1199" w:type="dxa"/>
            <w:vAlign w:val="center"/>
          </w:tcPr>
          <w:p w:rsidR="008C142F" w:rsidRPr="00B55054" w:rsidRDefault="008C142F" w:rsidP="003E2357">
            <w:pPr>
              <w:pStyle w:val="Telobesedila"/>
              <w:jc w:val="center"/>
              <w:rPr>
                <w:b/>
                <w:sz w:val="18"/>
                <w:szCs w:val="18"/>
              </w:rPr>
            </w:pPr>
            <w:r>
              <w:rPr>
                <w:b/>
                <w:sz w:val="18"/>
                <w:szCs w:val="18"/>
              </w:rPr>
              <w:t>2017 (prva ocena)</w:t>
            </w:r>
          </w:p>
        </w:tc>
      </w:tr>
      <w:tr w:rsidR="008C142F" w:rsidRPr="00B55054" w:rsidTr="003E2894">
        <w:trPr>
          <w:jc w:val="center"/>
        </w:trPr>
        <w:tc>
          <w:tcPr>
            <w:tcW w:w="4721" w:type="dxa"/>
            <w:shd w:val="clear" w:color="auto" w:fill="auto"/>
            <w:vAlign w:val="center"/>
          </w:tcPr>
          <w:p w:rsidR="008C142F" w:rsidRPr="00B55054" w:rsidRDefault="008C142F" w:rsidP="007413DD">
            <w:pPr>
              <w:pStyle w:val="Telobesedila"/>
              <w:jc w:val="left"/>
              <w:rPr>
                <w:sz w:val="18"/>
                <w:szCs w:val="18"/>
              </w:rPr>
            </w:pPr>
            <w:r w:rsidRPr="00B55054">
              <w:rPr>
                <w:sz w:val="18"/>
                <w:szCs w:val="18"/>
              </w:rPr>
              <w:t xml:space="preserve">Nacionalna vrednost na enoto plačilne pravice </w:t>
            </w:r>
            <w:r w:rsidR="003E2894">
              <w:rPr>
                <w:sz w:val="18"/>
                <w:szCs w:val="18"/>
              </w:rPr>
              <w:t xml:space="preserve">(PP) </w:t>
            </w:r>
            <w:r w:rsidRPr="00B55054">
              <w:rPr>
                <w:sz w:val="18"/>
                <w:szCs w:val="18"/>
              </w:rPr>
              <w:t>za leto 2019</w:t>
            </w:r>
          </w:p>
        </w:tc>
        <w:tc>
          <w:tcPr>
            <w:tcW w:w="1199" w:type="dxa"/>
            <w:shd w:val="clear" w:color="auto" w:fill="auto"/>
            <w:vAlign w:val="center"/>
          </w:tcPr>
          <w:p w:rsidR="008C142F" w:rsidRPr="00B55054" w:rsidRDefault="008C142F" w:rsidP="003E2894">
            <w:pPr>
              <w:jc w:val="right"/>
              <w:rPr>
                <w:b/>
                <w:sz w:val="18"/>
                <w:szCs w:val="18"/>
              </w:rPr>
            </w:pPr>
            <w:r w:rsidRPr="00B55054">
              <w:rPr>
                <w:rFonts w:ascii="Verdana" w:hAnsi="Verdana" w:cs="Arial"/>
                <w:sz w:val="18"/>
                <w:szCs w:val="18"/>
              </w:rPr>
              <w:t>159,09 EUR/ha</w:t>
            </w:r>
          </w:p>
        </w:tc>
        <w:tc>
          <w:tcPr>
            <w:tcW w:w="1199" w:type="dxa"/>
            <w:vAlign w:val="center"/>
          </w:tcPr>
          <w:p w:rsidR="008C142F" w:rsidRPr="00B55054" w:rsidRDefault="008C142F" w:rsidP="003E2894">
            <w:pPr>
              <w:jc w:val="right"/>
              <w:rPr>
                <w:b/>
                <w:sz w:val="18"/>
                <w:szCs w:val="18"/>
              </w:rPr>
            </w:pPr>
            <w:r w:rsidRPr="00B55054">
              <w:rPr>
                <w:rFonts w:ascii="Verdana" w:hAnsi="Verdana" w:cs="Arial"/>
                <w:sz w:val="18"/>
                <w:szCs w:val="18"/>
              </w:rPr>
              <w:t>159,09 EUR/ha</w:t>
            </w:r>
          </w:p>
        </w:tc>
        <w:tc>
          <w:tcPr>
            <w:tcW w:w="1199" w:type="dxa"/>
            <w:vAlign w:val="center"/>
          </w:tcPr>
          <w:p w:rsidR="008C142F" w:rsidRPr="00B55054" w:rsidRDefault="008C142F" w:rsidP="003E2894">
            <w:pPr>
              <w:jc w:val="right"/>
              <w:rPr>
                <w:rFonts w:ascii="Verdana" w:hAnsi="Verdana" w:cs="Arial"/>
                <w:sz w:val="18"/>
                <w:szCs w:val="18"/>
              </w:rPr>
            </w:pPr>
            <w:r w:rsidRPr="00B55054">
              <w:rPr>
                <w:rFonts w:ascii="Verdana" w:hAnsi="Verdana" w:cs="Arial"/>
                <w:sz w:val="18"/>
                <w:szCs w:val="18"/>
              </w:rPr>
              <w:t>159,09 EUR/ha</w:t>
            </w:r>
          </w:p>
        </w:tc>
      </w:tr>
      <w:tr w:rsidR="008C142F" w:rsidRPr="00B55054" w:rsidTr="003E2894">
        <w:trPr>
          <w:jc w:val="center"/>
        </w:trPr>
        <w:tc>
          <w:tcPr>
            <w:tcW w:w="4721" w:type="dxa"/>
            <w:shd w:val="clear" w:color="auto" w:fill="auto"/>
            <w:vAlign w:val="center"/>
          </w:tcPr>
          <w:p w:rsidR="008C142F" w:rsidRPr="00B55054" w:rsidRDefault="008C142F" w:rsidP="003E2894">
            <w:pPr>
              <w:pStyle w:val="Telobesedila"/>
              <w:jc w:val="left"/>
              <w:rPr>
                <w:sz w:val="18"/>
                <w:szCs w:val="18"/>
              </w:rPr>
            </w:pPr>
            <w:r w:rsidRPr="00B55054">
              <w:rPr>
                <w:sz w:val="18"/>
                <w:szCs w:val="18"/>
              </w:rPr>
              <w:t xml:space="preserve">Osnovno plačilo: odstotek za izračun začetne vrednosti na enoto </w:t>
            </w:r>
            <w:r w:rsidR="003E2894">
              <w:rPr>
                <w:sz w:val="18"/>
                <w:szCs w:val="18"/>
              </w:rPr>
              <w:t>PP</w:t>
            </w:r>
            <w:r w:rsidRPr="00B55054">
              <w:rPr>
                <w:sz w:val="18"/>
                <w:szCs w:val="18"/>
              </w:rPr>
              <w:t xml:space="preserve"> (5. odstavek 13. člena)</w:t>
            </w:r>
          </w:p>
        </w:tc>
        <w:tc>
          <w:tcPr>
            <w:tcW w:w="1199" w:type="dxa"/>
            <w:shd w:val="clear" w:color="auto" w:fill="auto"/>
            <w:vAlign w:val="center"/>
          </w:tcPr>
          <w:p w:rsidR="008C142F" w:rsidRPr="00B55054" w:rsidRDefault="008C142F" w:rsidP="007413DD">
            <w:pPr>
              <w:pStyle w:val="Telobesedila"/>
              <w:jc w:val="right"/>
              <w:rPr>
                <w:sz w:val="18"/>
                <w:szCs w:val="18"/>
              </w:rPr>
            </w:pPr>
            <w:r w:rsidRPr="00B55054">
              <w:rPr>
                <w:sz w:val="18"/>
                <w:szCs w:val="18"/>
              </w:rPr>
              <w:t>53,64 %</w:t>
            </w:r>
          </w:p>
        </w:tc>
        <w:tc>
          <w:tcPr>
            <w:tcW w:w="1199" w:type="dxa"/>
            <w:vAlign w:val="center"/>
          </w:tcPr>
          <w:p w:rsidR="008C142F" w:rsidRPr="00B55054" w:rsidRDefault="008C142F" w:rsidP="00E03E5D">
            <w:pPr>
              <w:pStyle w:val="Telobesedila"/>
              <w:jc w:val="right"/>
              <w:rPr>
                <w:sz w:val="18"/>
                <w:szCs w:val="18"/>
              </w:rPr>
            </w:pPr>
            <w:r w:rsidRPr="00B55054">
              <w:rPr>
                <w:sz w:val="18"/>
                <w:szCs w:val="18"/>
              </w:rPr>
              <w:t>53,64 %</w:t>
            </w:r>
          </w:p>
        </w:tc>
        <w:tc>
          <w:tcPr>
            <w:tcW w:w="1199" w:type="dxa"/>
            <w:vAlign w:val="center"/>
          </w:tcPr>
          <w:p w:rsidR="008C142F" w:rsidRPr="00B55054" w:rsidRDefault="008C142F" w:rsidP="00E03E5D">
            <w:pPr>
              <w:pStyle w:val="Telobesedila"/>
              <w:jc w:val="right"/>
              <w:rPr>
                <w:sz w:val="18"/>
                <w:szCs w:val="18"/>
              </w:rPr>
            </w:pPr>
            <w:r w:rsidRPr="00B55054">
              <w:rPr>
                <w:sz w:val="18"/>
                <w:szCs w:val="18"/>
              </w:rPr>
              <w:t>53,64 %</w:t>
            </w:r>
          </w:p>
        </w:tc>
      </w:tr>
      <w:tr w:rsidR="008C142F" w:rsidRPr="00B55054" w:rsidTr="003E2894">
        <w:trPr>
          <w:jc w:val="center"/>
        </w:trPr>
        <w:tc>
          <w:tcPr>
            <w:tcW w:w="4721" w:type="dxa"/>
            <w:shd w:val="clear" w:color="auto" w:fill="auto"/>
            <w:vAlign w:val="center"/>
          </w:tcPr>
          <w:p w:rsidR="008C142F" w:rsidRPr="00B55054" w:rsidRDefault="008C142F" w:rsidP="007413DD">
            <w:pPr>
              <w:pStyle w:val="Telobesedila"/>
              <w:jc w:val="left"/>
              <w:rPr>
                <w:sz w:val="18"/>
                <w:szCs w:val="18"/>
              </w:rPr>
            </w:pPr>
            <w:r w:rsidRPr="00B55054">
              <w:rPr>
                <w:sz w:val="18"/>
                <w:szCs w:val="18"/>
              </w:rPr>
              <w:t>Plačilo za zeleno komponento</w:t>
            </w:r>
          </w:p>
        </w:tc>
        <w:tc>
          <w:tcPr>
            <w:tcW w:w="1199" w:type="dxa"/>
            <w:shd w:val="clear" w:color="auto" w:fill="auto"/>
            <w:vAlign w:val="center"/>
          </w:tcPr>
          <w:p w:rsidR="008C142F" w:rsidRPr="00B55054" w:rsidRDefault="008C142F" w:rsidP="008C142F">
            <w:pPr>
              <w:pStyle w:val="Telobesedila"/>
              <w:jc w:val="right"/>
              <w:rPr>
                <w:sz w:val="18"/>
                <w:szCs w:val="18"/>
              </w:rPr>
            </w:pPr>
            <w:r w:rsidRPr="00B55054">
              <w:rPr>
                <w:rStyle w:val="Sprotnaopomba-sklic"/>
                <w:sz w:val="18"/>
                <w:szCs w:val="18"/>
                <w:vertAlign w:val="baseline"/>
              </w:rPr>
              <w:t>55</w:t>
            </w:r>
            <w:r w:rsidRPr="00B55054">
              <w:rPr>
                <w:sz w:val="18"/>
                <w:szCs w:val="18"/>
              </w:rPr>
              <w:t>,7</w:t>
            </w:r>
            <w:r w:rsidRPr="00B55054">
              <w:rPr>
                <w:rStyle w:val="Sprotnaopomba-sklic"/>
                <w:sz w:val="18"/>
                <w:szCs w:val="18"/>
                <w:vertAlign w:val="baseline"/>
              </w:rPr>
              <w:t xml:space="preserve"> %</w:t>
            </w:r>
            <w:r>
              <w:rPr>
                <w:sz w:val="18"/>
                <w:szCs w:val="18"/>
              </w:rPr>
              <w:t>*</w:t>
            </w:r>
            <w:r w:rsidRPr="00B55054">
              <w:rPr>
                <w:rStyle w:val="Sprotnaopomba-sklic"/>
                <w:sz w:val="18"/>
                <w:szCs w:val="18"/>
                <w:vertAlign w:val="baseline"/>
              </w:rPr>
              <w:t xml:space="preserve"> </w:t>
            </w:r>
          </w:p>
        </w:tc>
        <w:tc>
          <w:tcPr>
            <w:tcW w:w="1199" w:type="dxa"/>
            <w:vAlign w:val="center"/>
          </w:tcPr>
          <w:p w:rsidR="008C142F" w:rsidRPr="00B55054" w:rsidRDefault="008C142F" w:rsidP="008C142F">
            <w:pPr>
              <w:pStyle w:val="Telobesedila"/>
              <w:jc w:val="right"/>
              <w:rPr>
                <w:sz w:val="18"/>
                <w:szCs w:val="18"/>
              </w:rPr>
            </w:pPr>
            <w:r w:rsidRPr="00B55054">
              <w:rPr>
                <w:rStyle w:val="Sprotnaopomba-sklic"/>
                <w:sz w:val="18"/>
                <w:szCs w:val="18"/>
                <w:vertAlign w:val="baseline"/>
              </w:rPr>
              <w:t>56,3 %</w:t>
            </w:r>
            <w:r>
              <w:rPr>
                <w:sz w:val="18"/>
                <w:szCs w:val="18"/>
              </w:rPr>
              <w:t>*</w:t>
            </w:r>
            <w:r w:rsidRPr="00B55054">
              <w:rPr>
                <w:rStyle w:val="Sprotnaopomba-sklic"/>
                <w:sz w:val="18"/>
                <w:szCs w:val="18"/>
                <w:vertAlign w:val="baseline"/>
              </w:rPr>
              <w:t xml:space="preserve"> </w:t>
            </w:r>
          </w:p>
        </w:tc>
        <w:tc>
          <w:tcPr>
            <w:tcW w:w="1199" w:type="dxa"/>
            <w:vAlign w:val="center"/>
          </w:tcPr>
          <w:p w:rsidR="008C142F" w:rsidRPr="00B55054" w:rsidRDefault="008C142F" w:rsidP="008C142F">
            <w:pPr>
              <w:pStyle w:val="Telobesedila"/>
              <w:jc w:val="right"/>
              <w:rPr>
                <w:rStyle w:val="Sprotnaopomba-sklic"/>
                <w:sz w:val="18"/>
                <w:szCs w:val="18"/>
                <w:vertAlign w:val="baseline"/>
              </w:rPr>
            </w:pPr>
            <w:r w:rsidRPr="00B55054">
              <w:rPr>
                <w:rStyle w:val="Sprotnaopomba-sklic"/>
                <w:sz w:val="18"/>
                <w:szCs w:val="18"/>
                <w:vertAlign w:val="baseline"/>
              </w:rPr>
              <w:t>56,3 %</w:t>
            </w:r>
            <w:r>
              <w:rPr>
                <w:sz w:val="18"/>
                <w:szCs w:val="18"/>
              </w:rPr>
              <w:t>*</w:t>
            </w:r>
          </w:p>
        </w:tc>
      </w:tr>
      <w:tr w:rsidR="003E2894" w:rsidRPr="003E2894" w:rsidTr="003E2894">
        <w:trPr>
          <w:jc w:val="center"/>
        </w:trPr>
        <w:tc>
          <w:tcPr>
            <w:tcW w:w="4721" w:type="dxa"/>
            <w:shd w:val="clear" w:color="auto" w:fill="auto"/>
            <w:vAlign w:val="center"/>
          </w:tcPr>
          <w:p w:rsidR="003E2894" w:rsidRPr="003E2894" w:rsidRDefault="003E2894" w:rsidP="003E2894">
            <w:pPr>
              <w:pStyle w:val="Telobesedila"/>
              <w:jc w:val="left"/>
              <w:rPr>
                <w:sz w:val="18"/>
                <w:szCs w:val="18"/>
              </w:rPr>
            </w:pPr>
            <w:r w:rsidRPr="003E2894">
              <w:rPr>
                <w:sz w:val="18"/>
                <w:szCs w:val="18"/>
              </w:rPr>
              <w:t>Znižanje PP, zaradi zagotovitve zadostnih sredstev za plačila za mlade kmete (koeficient)</w:t>
            </w:r>
          </w:p>
        </w:tc>
        <w:tc>
          <w:tcPr>
            <w:tcW w:w="1199" w:type="dxa"/>
            <w:shd w:val="clear" w:color="auto" w:fill="auto"/>
            <w:vAlign w:val="center"/>
          </w:tcPr>
          <w:p w:rsidR="003E2894" w:rsidRPr="003E2894" w:rsidRDefault="003E2894">
            <w:pPr>
              <w:jc w:val="right"/>
              <w:rPr>
                <w:rFonts w:ascii="Verdana" w:hAnsi="Verdana"/>
                <w:sz w:val="18"/>
                <w:szCs w:val="18"/>
              </w:rPr>
            </w:pPr>
            <w:r w:rsidRPr="003E2894">
              <w:rPr>
                <w:rFonts w:ascii="Verdana" w:hAnsi="Verdana"/>
                <w:sz w:val="18"/>
                <w:szCs w:val="18"/>
              </w:rPr>
              <w:t>0,01163</w:t>
            </w:r>
          </w:p>
        </w:tc>
        <w:tc>
          <w:tcPr>
            <w:tcW w:w="1199" w:type="dxa"/>
            <w:vAlign w:val="center"/>
          </w:tcPr>
          <w:p w:rsidR="003E2894" w:rsidRPr="003E2894" w:rsidRDefault="003E2894">
            <w:pPr>
              <w:jc w:val="right"/>
              <w:rPr>
                <w:rFonts w:ascii="Verdana" w:hAnsi="Verdana"/>
                <w:sz w:val="18"/>
                <w:szCs w:val="18"/>
              </w:rPr>
            </w:pPr>
            <w:r w:rsidRPr="003E2894">
              <w:rPr>
                <w:rFonts w:ascii="Verdana" w:hAnsi="Verdana"/>
                <w:sz w:val="18"/>
                <w:szCs w:val="18"/>
              </w:rPr>
              <w:t>0,0080185</w:t>
            </w:r>
          </w:p>
        </w:tc>
        <w:tc>
          <w:tcPr>
            <w:tcW w:w="1199" w:type="dxa"/>
            <w:vAlign w:val="center"/>
          </w:tcPr>
          <w:p w:rsidR="003E2894" w:rsidRPr="003E2894" w:rsidRDefault="003E2894">
            <w:pPr>
              <w:jc w:val="right"/>
              <w:rPr>
                <w:rFonts w:ascii="Verdana" w:hAnsi="Verdana"/>
                <w:sz w:val="18"/>
                <w:szCs w:val="18"/>
              </w:rPr>
            </w:pPr>
            <w:r w:rsidRPr="003E2894">
              <w:rPr>
                <w:rFonts w:ascii="Verdana" w:hAnsi="Verdana"/>
                <w:sz w:val="18"/>
                <w:szCs w:val="18"/>
              </w:rPr>
              <w:t>0,0080185</w:t>
            </w:r>
          </w:p>
        </w:tc>
      </w:tr>
    </w:tbl>
    <w:p w:rsidR="008C142F" w:rsidRPr="008C142F" w:rsidRDefault="008C142F" w:rsidP="008C142F">
      <w:pPr>
        <w:ind w:firstLine="709"/>
        <w:rPr>
          <w:rFonts w:ascii="Verdana" w:hAnsi="Verdana"/>
          <w:sz w:val="16"/>
          <w:szCs w:val="16"/>
        </w:rPr>
      </w:pPr>
      <w:r w:rsidRPr="008C142F">
        <w:rPr>
          <w:rFonts w:ascii="Verdana" w:hAnsi="Verdana"/>
          <w:sz w:val="16"/>
          <w:szCs w:val="16"/>
        </w:rPr>
        <w:t xml:space="preserve">* od </w:t>
      </w:r>
      <w:r w:rsidRPr="008C142F">
        <w:rPr>
          <w:rStyle w:val="Sprotnaopomba-sklic"/>
          <w:rFonts w:ascii="Verdana" w:hAnsi="Verdana"/>
          <w:sz w:val="16"/>
          <w:szCs w:val="16"/>
          <w:vertAlign w:val="baseline"/>
        </w:rPr>
        <w:t>vrednosti plačilne pravice</w:t>
      </w:r>
    </w:p>
    <w:p w:rsidR="00A811A2" w:rsidRPr="008C142F" w:rsidRDefault="00B03FF6" w:rsidP="008C142F">
      <w:pPr>
        <w:ind w:firstLine="709"/>
        <w:rPr>
          <w:rFonts w:ascii="Verdana" w:hAnsi="Verdana"/>
          <w:sz w:val="16"/>
          <w:szCs w:val="16"/>
        </w:rPr>
      </w:pPr>
      <w:r w:rsidRPr="008C142F">
        <w:rPr>
          <w:rFonts w:ascii="Verdana" w:hAnsi="Verdana"/>
          <w:sz w:val="16"/>
          <w:szCs w:val="16"/>
        </w:rPr>
        <w:t>Vir: MKGP</w:t>
      </w:r>
    </w:p>
    <w:p w:rsidR="00DD6A94" w:rsidRDefault="0034453E" w:rsidP="00DD6A94">
      <w:pPr>
        <w:pStyle w:val="Naslov2"/>
      </w:pPr>
      <w:r>
        <w:t>M</w:t>
      </w:r>
      <w:r w:rsidR="00AD5C98" w:rsidRPr="00365846">
        <w:t>odelni izračun</w:t>
      </w:r>
      <w:r>
        <w:t>i</w:t>
      </w:r>
      <w:r w:rsidR="00AD5C98" w:rsidRPr="00365846">
        <w:t xml:space="preserve"> </w:t>
      </w:r>
    </w:p>
    <w:p w:rsidR="00AD5C98" w:rsidRPr="00365846" w:rsidRDefault="00DD6A94" w:rsidP="0034453E">
      <w:pPr>
        <w:pStyle w:val="Telobesedila"/>
        <w:spacing w:after="60"/>
      </w:pPr>
      <w:r>
        <w:t xml:space="preserve">Modelni izračuni </w:t>
      </w:r>
      <w:r w:rsidR="00AD5C98" w:rsidRPr="00365846">
        <w:t xml:space="preserve">so </w:t>
      </w:r>
      <w:r w:rsidRPr="00365846">
        <w:t xml:space="preserve">za vsak pridelek </w:t>
      </w:r>
      <w:r w:rsidR="0034453E">
        <w:t>izdelani</w:t>
      </w:r>
      <w:r w:rsidR="00AD5C98" w:rsidRPr="00365846">
        <w:t xml:space="preserve"> v treh (tržni pridelki) oziroma dveh (pridelki za reprodukcijo) oblikah in sicer kot:</w:t>
      </w:r>
    </w:p>
    <w:p w:rsidR="009B66FE" w:rsidRDefault="009B66FE" w:rsidP="00837441">
      <w:pPr>
        <w:numPr>
          <w:ilvl w:val="0"/>
          <w:numId w:val="12"/>
        </w:numPr>
        <w:ind w:left="357" w:hanging="357"/>
        <w:rPr>
          <w:rFonts w:ascii="Verdana" w:hAnsi="Verdana"/>
          <w:szCs w:val="22"/>
        </w:rPr>
      </w:pPr>
      <w:r>
        <w:rPr>
          <w:rFonts w:ascii="Verdana" w:hAnsi="Verdana"/>
          <w:szCs w:val="22"/>
        </w:rPr>
        <w:t>analitična kalkulacija;</w:t>
      </w:r>
    </w:p>
    <w:p w:rsidR="009B66FE" w:rsidRDefault="009B66FE" w:rsidP="00837441">
      <w:pPr>
        <w:numPr>
          <w:ilvl w:val="0"/>
          <w:numId w:val="12"/>
        </w:numPr>
        <w:ind w:left="357" w:hanging="357"/>
        <w:rPr>
          <w:rFonts w:ascii="Verdana" w:hAnsi="Verdana"/>
          <w:szCs w:val="22"/>
        </w:rPr>
      </w:pPr>
      <w:r>
        <w:rPr>
          <w:rFonts w:ascii="Verdana" w:hAnsi="Verdana"/>
          <w:szCs w:val="22"/>
        </w:rPr>
        <w:t>elementarna kalkulacija;</w:t>
      </w:r>
    </w:p>
    <w:p w:rsidR="00AD5C98" w:rsidRPr="00365846" w:rsidRDefault="009B66FE" w:rsidP="009B66FE">
      <w:pPr>
        <w:numPr>
          <w:ilvl w:val="0"/>
          <w:numId w:val="12"/>
        </w:numPr>
        <w:spacing w:after="120"/>
        <w:ind w:left="357" w:hanging="357"/>
      </w:pPr>
      <w:r>
        <w:rPr>
          <w:rFonts w:ascii="Verdana" w:hAnsi="Verdana"/>
          <w:szCs w:val="22"/>
        </w:rPr>
        <w:lastRenderedPageBreak/>
        <w:t>vrednost pridelave, izračun pokritja, dodane vrednosti in drugih kazalcev dohodka (samo pri tržnih pridelkih).</w:t>
      </w:r>
    </w:p>
    <w:p w:rsidR="00AD5C98" w:rsidRPr="00365846" w:rsidRDefault="00AD5C98" w:rsidP="009B66FE">
      <w:pPr>
        <w:pStyle w:val="Telobesedila"/>
      </w:pPr>
      <w:r w:rsidRPr="00365846">
        <w:t xml:space="preserve">Analitična in elementarna kalkulacija prikazujeta višino in strukturo stroškov. Obe obliki </w:t>
      </w:r>
      <w:r w:rsidR="00313EA0">
        <w:t>izračuna</w:t>
      </w:r>
      <w:r w:rsidRPr="00365846">
        <w:t xml:space="preserve"> se nanašata na iste stroške</w:t>
      </w:r>
      <w:r w:rsidR="00624BFC">
        <w:t>.</w:t>
      </w:r>
      <w:r w:rsidRPr="00365846">
        <w:t xml:space="preserve"> </w:t>
      </w:r>
      <w:r w:rsidR="00624BFC">
        <w:t>R</w:t>
      </w:r>
      <w:r w:rsidRPr="00365846">
        <w:t>azlika med njima je v načinu združevanja (</w:t>
      </w:r>
      <w:proofErr w:type="spellStart"/>
      <w:r w:rsidRPr="00365846">
        <w:t>agregiranja</w:t>
      </w:r>
      <w:proofErr w:type="spellEnd"/>
      <w:r w:rsidRPr="00365846">
        <w:t>) posameznih stroškov. Posebno močno se ta razlika odrazi pri tistih  kmetijskih pridelkih, pri katerih je proizvodni proces sestavljen iz več časovno ali tehnološko ločenih procesov (npr. pridelovanje krme, pitanje).</w:t>
      </w:r>
    </w:p>
    <w:p w:rsidR="00AD5C98" w:rsidRPr="00365846" w:rsidRDefault="00AD5C98" w:rsidP="009B66FE">
      <w:pPr>
        <w:pStyle w:val="Telobesedila"/>
      </w:pPr>
      <w:r w:rsidRPr="00365846">
        <w:t xml:space="preserve">Pri izdelavi </w:t>
      </w:r>
      <w:r w:rsidRPr="00365846">
        <w:rPr>
          <w:b/>
        </w:rPr>
        <w:t>analitične kalkulacije</w:t>
      </w:r>
      <w:r w:rsidRPr="00365846">
        <w:t xml:space="preserve"> </w:t>
      </w:r>
      <w:r w:rsidR="00313EA0">
        <w:t xml:space="preserve">je </w:t>
      </w:r>
      <w:r w:rsidRPr="00365846">
        <w:t>vsak od procesov obravnava</w:t>
      </w:r>
      <w:r w:rsidR="00313EA0">
        <w:t>n</w:t>
      </w:r>
      <w:r w:rsidRPr="00365846">
        <w:t xml:space="preserve"> ločeno kot samostojni stroškovni nosilec. Za vsak domač pridelek ali storitev (čeprav je namenjen izključno nadaljnji reprodukciji) je izdelana samostojna analitična kalkulacija</w:t>
      </w:r>
      <w:r w:rsidR="00813F82" w:rsidRPr="00365846">
        <w:t xml:space="preserve"> (</w:t>
      </w:r>
      <w:r w:rsidR="007474E4">
        <w:t>za</w:t>
      </w:r>
      <w:r w:rsidR="00813F82" w:rsidRPr="00365846">
        <w:t xml:space="preserve"> strojn</w:t>
      </w:r>
      <w:r w:rsidR="007474E4">
        <w:t>e</w:t>
      </w:r>
      <w:r w:rsidR="00813F82" w:rsidRPr="00365846">
        <w:t xml:space="preserve"> storitv</w:t>
      </w:r>
      <w:r w:rsidR="007474E4">
        <w:t>e</w:t>
      </w:r>
      <w:r w:rsidR="00813F82" w:rsidRPr="00365846">
        <w:t xml:space="preserve"> po vrstah, </w:t>
      </w:r>
      <w:r w:rsidR="007474E4">
        <w:t xml:space="preserve">za </w:t>
      </w:r>
      <w:r w:rsidR="00813F82" w:rsidRPr="00365846">
        <w:t>pridelav</w:t>
      </w:r>
      <w:r w:rsidR="007474E4">
        <w:t>o</w:t>
      </w:r>
      <w:r w:rsidR="00813F82" w:rsidRPr="00365846">
        <w:t xml:space="preserve"> krme po vrstah…)</w:t>
      </w:r>
      <w:r w:rsidRPr="00365846">
        <w:t xml:space="preserve">. V naslednjo fazo proizvodnega procesa vstopa tak pridelek kot materialni strošek, vrednoten po lastni ceni. </w:t>
      </w:r>
    </w:p>
    <w:p w:rsidR="00AD5C98" w:rsidRPr="00365846" w:rsidRDefault="00AD5C98" w:rsidP="009B66FE">
      <w:pPr>
        <w:pStyle w:val="Telobesedila"/>
      </w:pPr>
      <w:r w:rsidRPr="00365846">
        <w:t xml:space="preserve">Pri izdelavi </w:t>
      </w:r>
      <w:r w:rsidRPr="00365846">
        <w:rPr>
          <w:b/>
        </w:rPr>
        <w:t>elementarne kalkulacije</w:t>
      </w:r>
      <w:r w:rsidRPr="00365846">
        <w:t xml:space="preserve"> </w:t>
      </w:r>
      <w:r w:rsidR="00313EA0">
        <w:t xml:space="preserve">je </w:t>
      </w:r>
      <w:r w:rsidRPr="00365846">
        <w:t>celotni proizvodni proces obravnava</w:t>
      </w:r>
      <w:r w:rsidR="00313EA0">
        <w:t>n</w:t>
      </w:r>
      <w:r w:rsidRPr="00365846">
        <w:t xml:space="preserve"> kot en sam stroškovni nosilec. Strošk</w:t>
      </w:r>
      <w:r w:rsidR="00313EA0">
        <w:t>i</w:t>
      </w:r>
      <w:r w:rsidRPr="00365846">
        <w:t xml:space="preserve"> n</w:t>
      </w:r>
      <w:r w:rsidR="00313EA0">
        <w:t>iso</w:t>
      </w:r>
      <w:r w:rsidRPr="00365846">
        <w:t xml:space="preserve"> združ</w:t>
      </w:r>
      <w:r w:rsidR="00313EA0">
        <w:t>eni</w:t>
      </w:r>
      <w:r w:rsidRPr="00365846">
        <w:t xml:space="preserve"> po fazah proizvodnega procesa, pač pa </w:t>
      </w:r>
      <w:r w:rsidR="00313EA0">
        <w:t>v</w:t>
      </w:r>
      <w:r w:rsidRPr="00365846">
        <w:t xml:space="preserve"> vsebinsko podobne, enotno opredeljene skupine stroškov (npr. energija, amortizacija, delo). Tako so npr. stroški pridelovanja sena za krmo v analitični kalkulaciji živinoreje prikazani kot enoten strošek (stroški sena), v elementarni kalkulaciji pa so ti isti stroški razporejeni po skupinah (elementih) kot stroški energije</w:t>
      </w:r>
      <w:r w:rsidR="00813F82" w:rsidRPr="00365846">
        <w:t xml:space="preserve">, mineralnih gnojil, </w:t>
      </w:r>
      <w:r w:rsidR="00602106" w:rsidRPr="00365846">
        <w:t xml:space="preserve">amortizacije, </w:t>
      </w:r>
      <w:r w:rsidR="00813F82" w:rsidRPr="00365846">
        <w:t>dela, itd.</w:t>
      </w:r>
    </w:p>
    <w:p w:rsidR="00813F82" w:rsidRPr="00365846" w:rsidRDefault="00813F82" w:rsidP="009B66FE">
      <w:pPr>
        <w:pStyle w:val="Telobesedila"/>
      </w:pPr>
      <w:r w:rsidRPr="00365846">
        <w:t xml:space="preserve">Vsaka od </w:t>
      </w:r>
      <w:proofErr w:type="spellStart"/>
      <w:r w:rsidRPr="00365846">
        <w:t>kalkulativnih</w:t>
      </w:r>
      <w:proofErr w:type="spellEnd"/>
      <w:r w:rsidRPr="00365846">
        <w:t xml:space="preserve"> oblik ima svoje prednosti in slabosti. Prednosti analitične kalkulacije so v preglednosti in razumljivosti, ki izhaja iz neposredne povezave s tehnološko karto. Poleg tega sistem analitičnih kalkulacij omogoča vpogled v stroške vsakega od ločenih tehnoloških procesov (npr. pridelovanje sena, silaže</w:t>
      </w:r>
      <w:r w:rsidR="00C8736D" w:rsidRPr="00365846">
        <w:t>, pitanje</w:t>
      </w:r>
      <w:r w:rsidRPr="00365846">
        <w:t>). Slabost je v tem, da s sistemom prenosa stroškov po lastnih cenah izgubimo vpogled v višino in strukturo izvirnih stroškov (npr. kolikšni so stroški dela pri pitanju govedi skupaj s pridelovanjem osnovne krme</w:t>
      </w:r>
      <w:r w:rsidR="0038428B" w:rsidRPr="00365846">
        <w:t>, al</w:t>
      </w:r>
      <w:r w:rsidR="00602106" w:rsidRPr="00365846">
        <w:t>i</w:t>
      </w:r>
      <w:r w:rsidR="0038428B" w:rsidRPr="00365846">
        <w:t xml:space="preserve"> </w:t>
      </w:r>
      <w:r w:rsidR="00602106" w:rsidRPr="00365846">
        <w:t>kolikšni</w:t>
      </w:r>
      <w:r w:rsidR="0038428B" w:rsidRPr="00365846">
        <w:t xml:space="preserve"> so stroški amortizacije strojev v rastlinski pridelavi</w:t>
      </w:r>
      <w:r w:rsidRPr="00365846">
        <w:t>). To</w:t>
      </w:r>
      <w:r w:rsidR="00602106" w:rsidRPr="00365846">
        <w:t xml:space="preserve">vrstne informacije so razvidne iz </w:t>
      </w:r>
      <w:r w:rsidRPr="00365846">
        <w:t>elementarne kalkulacije.</w:t>
      </w:r>
    </w:p>
    <w:p w:rsidR="00BB324E" w:rsidRPr="00365846" w:rsidRDefault="004A7C3C" w:rsidP="009B66FE">
      <w:pPr>
        <w:pStyle w:val="Telobesedila"/>
      </w:pPr>
      <w:r w:rsidRPr="00365846">
        <w:t xml:space="preserve">Poleg razlike v strukturi stroškov med obema vrstama kalkulacij, se pri nekaterih pridelkih pojavi tudi razlika v višini skupnih stroškov. Razliko predstavlja t.i. </w:t>
      </w:r>
      <w:r w:rsidRPr="006B708A">
        <w:rPr>
          <w:b/>
        </w:rPr>
        <w:t>interna realizacija</w:t>
      </w:r>
      <w:r w:rsidRPr="00624BFC">
        <w:t>.</w:t>
      </w:r>
      <w:r w:rsidRPr="00365846">
        <w:t xml:space="preserve"> Ta razlika nastane v primerih, ko je del pridelka ali stranskega pridelka neposredno ali posredno porabljen kot reprodukcijski material pri istem stroškovnem nosilcu (npr. </w:t>
      </w:r>
      <w:r w:rsidR="00BB324E" w:rsidRPr="00365846">
        <w:t xml:space="preserve">poraba domačega semena, </w:t>
      </w:r>
      <w:r w:rsidRPr="00365846">
        <w:t xml:space="preserve">mleko za teleta </w:t>
      </w:r>
      <w:r w:rsidR="000F7C8F" w:rsidRPr="00365846">
        <w:t>pri proizvodnji mleka</w:t>
      </w:r>
      <w:r w:rsidRPr="00365846">
        <w:t xml:space="preserve"> ali gnojevka krav, uporabljena za pridelavo krme za krave). </w:t>
      </w:r>
      <w:r w:rsidR="00BB324E" w:rsidRPr="00365846">
        <w:t xml:space="preserve">V primeru, ko je del pridelka porabljen kot interna realizacija, se po načelih analitične kalkulacije ta del pridelka šteje kot strošek, pri izračunu lastne cene pa </w:t>
      </w:r>
      <w:r w:rsidR="00624BFC">
        <w:t xml:space="preserve">je </w:t>
      </w:r>
      <w:r w:rsidR="00BB324E" w:rsidRPr="00365846">
        <w:t>upošteva</w:t>
      </w:r>
      <w:r w:rsidR="00624BFC">
        <w:t>n</w:t>
      </w:r>
      <w:r w:rsidR="00BB324E" w:rsidRPr="00365846">
        <w:t xml:space="preserve"> ves pridelek (npr. 400 l mleka za teleta nastopi kot strošek, pri izračunu lastne cene </w:t>
      </w:r>
      <w:r w:rsidR="00624BFC">
        <w:t xml:space="preserve">je </w:t>
      </w:r>
      <w:r w:rsidR="00BB324E" w:rsidRPr="00365846">
        <w:t>upošteva</w:t>
      </w:r>
      <w:r w:rsidR="00624BFC">
        <w:t>na</w:t>
      </w:r>
      <w:r w:rsidR="00BB324E" w:rsidRPr="00365846">
        <w:t xml:space="preserve"> skupn</w:t>
      </w:r>
      <w:r w:rsidR="00624BFC">
        <w:t>a</w:t>
      </w:r>
      <w:r w:rsidR="00BB324E" w:rsidRPr="00365846">
        <w:t xml:space="preserve"> pridelav</w:t>
      </w:r>
      <w:r w:rsidR="00624BFC">
        <w:t>a</w:t>
      </w:r>
      <w:r w:rsidR="00BB324E" w:rsidRPr="00365846">
        <w:t xml:space="preserve"> 4</w:t>
      </w:r>
      <w:r w:rsidR="00624BFC">
        <w:t>.</w:t>
      </w:r>
      <w:r w:rsidR="00BB324E" w:rsidRPr="00365846">
        <w:t>500 l in ne 4</w:t>
      </w:r>
      <w:r w:rsidR="00624BFC">
        <w:t>.</w:t>
      </w:r>
      <w:r w:rsidR="00BB324E" w:rsidRPr="00365846">
        <w:t>100 l). V tem primeru so v analitični kalkulaciji stroški mleka za teleta dejansko šteti dvakrat</w:t>
      </w:r>
      <w:r w:rsidR="0008753C" w:rsidRPr="00365846">
        <w:t xml:space="preserve">. Enkrat kot strošek mleka in drugič kot </w:t>
      </w:r>
      <w:r w:rsidR="00AC5F2D" w:rsidRPr="00365846">
        <w:t xml:space="preserve">pripadajoč del izvirnih stroškov pri </w:t>
      </w:r>
      <w:r w:rsidR="0008753C" w:rsidRPr="00365846">
        <w:t>mlek</w:t>
      </w:r>
      <w:r w:rsidR="00AC5F2D" w:rsidRPr="00365846">
        <w:t>u</w:t>
      </w:r>
      <w:r w:rsidR="003D71BE" w:rsidRPr="00365846">
        <w:t xml:space="preserve"> (krma, storitve, delo</w:t>
      </w:r>
      <w:r w:rsidR="00BB324E" w:rsidRPr="00365846">
        <w:t>,</w:t>
      </w:r>
      <w:r w:rsidR="003D71BE" w:rsidRPr="00365846">
        <w:t xml:space="preserve"> …),</w:t>
      </w:r>
      <w:r w:rsidR="00BB324E" w:rsidRPr="00365846">
        <w:t xml:space="preserve"> vendar, ker je hkrati to mleko upoštevano tudi kot pridelek, je izračun lastne cene pravilen. </w:t>
      </w:r>
      <w:r w:rsidR="003D71BE" w:rsidRPr="00365846">
        <w:t>Elementarna kalkulacija vključuje le izvirne stroške</w:t>
      </w:r>
      <w:r w:rsidR="00217DB7" w:rsidRPr="00365846">
        <w:t xml:space="preserve"> brez podvajanja (stroški interne realizacije niso vključeni, zato razlika v skupni višini</w:t>
      </w:r>
      <w:r w:rsidR="001E2F0F" w:rsidRPr="00365846">
        <w:t xml:space="preserve"> stroškov</w:t>
      </w:r>
      <w:r w:rsidR="00217DB7" w:rsidRPr="00365846">
        <w:t>), t</w:t>
      </w:r>
      <w:r w:rsidR="00624BFC">
        <w:t>i</w:t>
      </w:r>
      <w:r w:rsidR="00217DB7" w:rsidRPr="00365846">
        <w:t xml:space="preserve"> strošk</w:t>
      </w:r>
      <w:r w:rsidR="00624BFC">
        <w:t>i</w:t>
      </w:r>
      <w:r w:rsidR="00217DB7" w:rsidRPr="00365846">
        <w:t xml:space="preserve"> pa </w:t>
      </w:r>
      <w:r w:rsidR="00624BFC">
        <w:t xml:space="preserve">so </w:t>
      </w:r>
      <w:r w:rsidR="00217DB7" w:rsidRPr="00365846">
        <w:t>pripi</w:t>
      </w:r>
      <w:r w:rsidR="00624BFC">
        <w:t>sani</w:t>
      </w:r>
      <w:r w:rsidR="00217DB7" w:rsidRPr="00365846">
        <w:t xml:space="preserve"> le finalni </w:t>
      </w:r>
      <w:r w:rsidR="00BC5919" w:rsidRPr="00365846">
        <w:t xml:space="preserve">to je »neto« </w:t>
      </w:r>
      <w:r w:rsidR="00217DB7" w:rsidRPr="00365846">
        <w:t>proizvodnji (v primeru mleka  4</w:t>
      </w:r>
      <w:r w:rsidR="00624BFC">
        <w:t>.</w:t>
      </w:r>
      <w:r w:rsidR="00217DB7" w:rsidRPr="00365846">
        <w:t>100 l in ne 4</w:t>
      </w:r>
      <w:r w:rsidR="00624BFC">
        <w:t>.</w:t>
      </w:r>
      <w:r w:rsidR="00217DB7" w:rsidRPr="00365846">
        <w:t>500 l kot v analitični</w:t>
      </w:r>
      <w:r w:rsidR="001E2F0F" w:rsidRPr="00365846">
        <w:t xml:space="preserve"> kalkulaciji</w:t>
      </w:r>
      <w:r w:rsidR="00217DB7" w:rsidRPr="00365846">
        <w:t>)</w:t>
      </w:r>
      <w:r w:rsidR="00BC5919" w:rsidRPr="00365846">
        <w:t>.</w:t>
      </w:r>
      <w:r w:rsidR="00BB324E" w:rsidRPr="00365846">
        <w:t xml:space="preserve"> Izračunana lastna cena je v obeh primerih enaka, pojavi pa se razlika v </w:t>
      </w:r>
      <w:r w:rsidR="00BC5919" w:rsidRPr="00365846">
        <w:t xml:space="preserve">skupnih </w:t>
      </w:r>
      <w:r w:rsidR="00BB324E" w:rsidRPr="00365846">
        <w:t>stroških</w:t>
      </w:r>
      <w:r w:rsidR="00BC5919" w:rsidRPr="00365846">
        <w:t xml:space="preserve"> (stroški elementarne kalkulacije = stroški </w:t>
      </w:r>
      <w:r w:rsidR="0038428B" w:rsidRPr="00365846">
        <w:t>analitične</w:t>
      </w:r>
      <w:r w:rsidR="00BC5919" w:rsidRPr="00365846">
        <w:t xml:space="preserve"> kalkulacije - interna realizacija)</w:t>
      </w:r>
      <w:r w:rsidR="00BB324E" w:rsidRPr="00365846">
        <w:t>. Interna realizacija je v elementarni kalkulaciji prikazana ločeno.</w:t>
      </w:r>
      <w:r w:rsidR="00837441">
        <w:t xml:space="preserve"> </w:t>
      </w:r>
    </w:p>
    <w:p w:rsidR="00B10B7C" w:rsidRPr="00365846" w:rsidRDefault="00BB324E" w:rsidP="009B66FE">
      <w:pPr>
        <w:pStyle w:val="Telobesedila"/>
      </w:pPr>
      <w:r w:rsidRPr="00365846">
        <w:lastRenderedPageBreak/>
        <w:t xml:space="preserve">Ker načelo izdelave elementarne kalkulacije izključuje možnost podvajanja stroškov zaradi učinka interne realizacije in </w:t>
      </w:r>
      <w:r w:rsidR="00602106" w:rsidRPr="00365846">
        <w:t xml:space="preserve">predvsem, </w:t>
      </w:r>
      <w:r w:rsidRPr="00365846">
        <w:t xml:space="preserve">ker </w:t>
      </w:r>
      <w:r w:rsidR="00602106" w:rsidRPr="00365846">
        <w:t>je iz elementarne kalkulacije razvidna struktura izvirnih stroškov (kupljen material po skupinah, amortizacija, delo, obveznosti…)</w:t>
      </w:r>
      <w:r w:rsidRPr="00365846">
        <w:t>, je elementarna kalkulacija primerna za izračun pokritij po različnih metodah</w:t>
      </w:r>
      <w:r w:rsidR="00B10B7C" w:rsidRPr="00365846">
        <w:t xml:space="preserve"> in izračun bruto in neto dodane vrednosti.</w:t>
      </w:r>
    </w:p>
    <w:p w:rsidR="00DD6A94" w:rsidRDefault="00BB324E" w:rsidP="00DD6A94">
      <w:pPr>
        <w:pStyle w:val="Naslov2"/>
      </w:pPr>
      <w:r w:rsidRPr="00365846">
        <w:t>Vrednost pridelave, izračun pokritja, dodane vrednosti in</w:t>
      </w:r>
      <w:r w:rsidR="00B10B7C" w:rsidRPr="00365846">
        <w:t xml:space="preserve"> drugih kazalcev</w:t>
      </w:r>
      <w:r w:rsidRPr="00365846">
        <w:t xml:space="preserve"> dohodka </w:t>
      </w:r>
    </w:p>
    <w:p w:rsidR="00025C35" w:rsidRPr="00365846" w:rsidRDefault="00DD6A94" w:rsidP="009B66FE">
      <w:pPr>
        <w:pStyle w:val="Telobesedila"/>
      </w:pPr>
      <w:r w:rsidRPr="00DD6A94">
        <w:t xml:space="preserve">Vrednost pridelave, izračun pokritja, dodane vrednosti in drugih kazalcev dohodka </w:t>
      </w:r>
      <w:r w:rsidR="00B10B7C" w:rsidRPr="00DD6A94">
        <w:t>je zadnji del standardnih rezultatov modelnih kalkulacij. P</w:t>
      </w:r>
      <w:r w:rsidR="00BB324E" w:rsidRPr="00DD6A94">
        <w:t>redstavlja oceno</w:t>
      </w:r>
      <w:r w:rsidR="00BB324E" w:rsidRPr="00365846">
        <w:t xml:space="preserve"> </w:t>
      </w:r>
      <w:r w:rsidR="001E2F0F" w:rsidRPr="00365846">
        <w:t xml:space="preserve">ekonomske </w:t>
      </w:r>
      <w:r w:rsidR="00BB324E" w:rsidRPr="00365846">
        <w:t xml:space="preserve">uspešnosti pridelave. Pri vrednosti pridelave </w:t>
      </w:r>
      <w:r w:rsidR="001E2F0F" w:rsidRPr="00365846">
        <w:t xml:space="preserve">je </w:t>
      </w:r>
      <w:r w:rsidR="00BB324E" w:rsidRPr="00365846">
        <w:t>upošteva</w:t>
      </w:r>
      <w:r w:rsidR="001E2F0F" w:rsidRPr="00365846">
        <w:t>na</w:t>
      </w:r>
      <w:r w:rsidR="00BB324E" w:rsidRPr="00365846">
        <w:t xml:space="preserve"> finaln</w:t>
      </w:r>
      <w:r w:rsidR="001E2F0F" w:rsidRPr="00365846">
        <w:t>a</w:t>
      </w:r>
      <w:r w:rsidR="00BB324E" w:rsidRPr="00365846">
        <w:t xml:space="preserve"> pridelav</w:t>
      </w:r>
      <w:r w:rsidR="001E2F0F" w:rsidRPr="00365846">
        <w:t>a</w:t>
      </w:r>
      <w:r w:rsidR="00BB324E" w:rsidRPr="00365846">
        <w:t xml:space="preserve"> na ravni stroškovnega nosilca</w:t>
      </w:r>
      <w:r w:rsidR="00210B12" w:rsidRPr="00365846">
        <w:t xml:space="preserve"> (skupna proizvodnja</w:t>
      </w:r>
      <w:r w:rsidR="001E2F0F" w:rsidRPr="00365846">
        <w:t>,</w:t>
      </w:r>
      <w:r w:rsidR="00210B12" w:rsidRPr="00365846">
        <w:t xml:space="preserve"> zmanjšana za interno realizacijo)</w:t>
      </w:r>
      <w:r w:rsidR="00BB324E" w:rsidRPr="00365846">
        <w:t>, strošk</w:t>
      </w:r>
      <w:r w:rsidR="001E2F0F" w:rsidRPr="00365846">
        <w:t>i</w:t>
      </w:r>
      <w:r w:rsidR="00BB324E" w:rsidRPr="00365846">
        <w:t xml:space="preserve"> pa </w:t>
      </w:r>
      <w:r w:rsidR="001E2F0F" w:rsidRPr="00365846">
        <w:t xml:space="preserve">so </w:t>
      </w:r>
      <w:r w:rsidR="00BB324E" w:rsidRPr="00365846">
        <w:t>povze</w:t>
      </w:r>
      <w:r w:rsidR="001E2F0F" w:rsidRPr="00365846">
        <w:t>ti</w:t>
      </w:r>
      <w:r w:rsidR="00BB324E" w:rsidRPr="00365846">
        <w:t xml:space="preserve"> iz elementarne kalkulacije</w:t>
      </w:r>
      <w:r w:rsidR="00AD0E2E" w:rsidRPr="00365846">
        <w:t xml:space="preserve"> (tudi vrednost pridelave, kjer </w:t>
      </w:r>
      <w:r w:rsidR="001E2F0F" w:rsidRPr="00365846">
        <w:t xml:space="preserve">je </w:t>
      </w:r>
      <w:r w:rsidR="00AD0E2E" w:rsidRPr="00365846">
        <w:t>kot kriterij za oceno ekonomske uspešnosti uporab</w:t>
      </w:r>
      <w:r w:rsidR="001E2F0F" w:rsidRPr="00365846">
        <w:t>ljena</w:t>
      </w:r>
      <w:r w:rsidR="00AD0E2E" w:rsidRPr="00365846">
        <w:t xml:space="preserve"> elementarn</w:t>
      </w:r>
      <w:r w:rsidR="001E2F0F" w:rsidRPr="00365846">
        <w:t>a</w:t>
      </w:r>
      <w:r w:rsidR="00AD0E2E" w:rsidRPr="00365846">
        <w:t xml:space="preserve"> kalkulacij</w:t>
      </w:r>
      <w:r w:rsidR="001E2F0F" w:rsidRPr="00365846">
        <w:t>a,</w:t>
      </w:r>
      <w:r w:rsidR="00AD0E2E" w:rsidRPr="00365846">
        <w:t xml:space="preserve"> se razlikuje od vrednosti pridelave, kjer </w:t>
      </w:r>
      <w:r w:rsidR="001E2F0F" w:rsidRPr="00365846">
        <w:t xml:space="preserve">je </w:t>
      </w:r>
      <w:r w:rsidR="00AD0E2E" w:rsidRPr="00365846">
        <w:t>kot kriterij uporab</w:t>
      </w:r>
      <w:r w:rsidR="001E2F0F" w:rsidRPr="00365846">
        <w:t>ljena</w:t>
      </w:r>
      <w:r w:rsidR="00AD0E2E" w:rsidRPr="00365846">
        <w:t xml:space="preserve"> analitičn</w:t>
      </w:r>
      <w:r w:rsidR="001E2F0F" w:rsidRPr="00365846">
        <w:t>a</w:t>
      </w:r>
      <w:r w:rsidR="00AD0E2E" w:rsidRPr="00365846">
        <w:t xml:space="preserve"> kalkulacij</w:t>
      </w:r>
      <w:r w:rsidR="001E2F0F" w:rsidRPr="00365846">
        <w:t>a;</w:t>
      </w:r>
      <w:r w:rsidR="005D3EB9" w:rsidRPr="00365846">
        <w:t xml:space="preserve"> </w:t>
      </w:r>
      <w:r w:rsidR="001E2F0F" w:rsidRPr="00365846">
        <w:t>r</w:t>
      </w:r>
      <w:r w:rsidR="005D3EB9" w:rsidRPr="00365846">
        <w:t>azliko zopet predstavlja interna realizacija)</w:t>
      </w:r>
      <w:r w:rsidR="00BB324E" w:rsidRPr="00365846">
        <w:t>.</w:t>
      </w:r>
    </w:p>
    <w:p w:rsidR="00025C35" w:rsidRPr="00365846" w:rsidRDefault="00025C35" w:rsidP="003E4383">
      <w:pPr>
        <w:pStyle w:val="Telobesedila"/>
        <w:spacing w:after="60"/>
      </w:pPr>
      <w:r w:rsidRPr="00365846">
        <w:rPr>
          <w:b/>
        </w:rPr>
        <w:t>Vrednost pridelave</w:t>
      </w:r>
      <w:r w:rsidRPr="00365846">
        <w:t xml:space="preserve"> je sestavljena iz:</w:t>
      </w:r>
    </w:p>
    <w:p w:rsidR="00025C35" w:rsidRPr="003E4383" w:rsidRDefault="00025C35" w:rsidP="003E4383">
      <w:pPr>
        <w:numPr>
          <w:ilvl w:val="0"/>
          <w:numId w:val="12"/>
        </w:numPr>
        <w:spacing w:after="60"/>
        <w:ind w:left="357" w:hanging="357"/>
        <w:rPr>
          <w:rFonts w:ascii="Verdana" w:hAnsi="Verdana"/>
          <w:szCs w:val="22"/>
        </w:rPr>
      </w:pPr>
      <w:r w:rsidRPr="003E4383">
        <w:rPr>
          <w:rFonts w:ascii="Verdana" w:hAnsi="Verdana"/>
          <w:szCs w:val="22"/>
        </w:rPr>
        <w:t>vrednosti glavnega pridelka</w:t>
      </w:r>
      <w:r w:rsidR="003E4383">
        <w:rPr>
          <w:rFonts w:ascii="Verdana" w:hAnsi="Verdana"/>
          <w:szCs w:val="22"/>
        </w:rPr>
        <w:t xml:space="preserve"> (</w:t>
      </w:r>
      <w:r w:rsidRPr="003E4383">
        <w:rPr>
          <w:rFonts w:ascii="Verdana" w:hAnsi="Verdana"/>
          <w:szCs w:val="22"/>
        </w:rPr>
        <w:t>skupni pridelek zmanjšan za interno realizacijo</w:t>
      </w:r>
      <w:r w:rsidR="001E2F0F" w:rsidRPr="003E4383">
        <w:rPr>
          <w:rFonts w:ascii="Verdana" w:hAnsi="Verdana"/>
          <w:szCs w:val="22"/>
        </w:rPr>
        <w:t>,</w:t>
      </w:r>
      <w:r w:rsidRPr="003E4383">
        <w:rPr>
          <w:rFonts w:ascii="Verdana" w:hAnsi="Verdana"/>
          <w:szCs w:val="22"/>
        </w:rPr>
        <w:t xml:space="preserve"> vrednoten po prodajni ceni</w:t>
      </w:r>
      <w:r w:rsidR="003E4383">
        <w:rPr>
          <w:rFonts w:ascii="Verdana" w:hAnsi="Verdana"/>
          <w:szCs w:val="22"/>
        </w:rPr>
        <w:t>;</w:t>
      </w:r>
      <w:r w:rsidRPr="003E4383">
        <w:rPr>
          <w:rFonts w:ascii="Verdana" w:hAnsi="Verdana"/>
          <w:szCs w:val="22"/>
        </w:rPr>
        <w:t xml:space="preserve"> praviloma </w:t>
      </w:r>
      <w:r w:rsidR="003E4383">
        <w:rPr>
          <w:rFonts w:ascii="Verdana" w:hAnsi="Verdana"/>
          <w:szCs w:val="22"/>
        </w:rPr>
        <w:t xml:space="preserve">upoštevane </w:t>
      </w:r>
      <w:r w:rsidRPr="003E4383">
        <w:rPr>
          <w:rFonts w:ascii="Verdana" w:hAnsi="Verdana"/>
          <w:szCs w:val="22"/>
        </w:rPr>
        <w:t xml:space="preserve">cene </w:t>
      </w:r>
      <w:r w:rsidR="003E4383">
        <w:rPr>
          <w:rFonts w:ascii="Verdana" w:hAnsi="Verdana"/>
          <w:szCs w:val="22"/>
        </w:rPr>
        <w:t xml:space="preserve">iz </w:t>
      </w:r>
      <w:r w:rsidRPr="003E4383">
        <w:rPr>
          <w:rFonts w:ascii="Verdana" w:hAnsi="Verdana"/>
          <w:szCs w:val="22"/>
        </w:rPr>
        <w:t>statistike odkupa)</w:t>
      </w:r>
      <w:r w:rsidR="001E2F0F" w:rsidRPr="003E4383">
        <w:rPr>
          <w:rFonts w:ascii="Verdana" w:hAnsi="Verdana"/>
          <w:szCs w:val="22"/>
        </w:rPr>
        <w:t>;</w:t>
      </w:r>
    </w:p>
    <w:p w:rsidR="00025C35" w:rsidRPr="003E4383" w:rsidRDefault="00025C35" w:rsidP="003E4383">
      <w:pPr>
        <w:numPr>
          <w:ilvl w:val="0"/>
          <w:numId w:val="12"/>
        </w:numPr>
        <w:spacing w:after="60"/>
        <w:ind w:left="357" w:hanging="357"/>
        <w:rPr>
          <w:rFonts w:ascii="Verdana" w:hAnsi="Verdana"/>
          <w:szCs w:val="22"/>
        </w:rPr>
      </w:pPr>
      <w:r w:rsidRPr="003E4383">
        <w:rPr>
          <w:rFonts w:ascii="Verdana" w:hAnsi="Verdana"/>
          <w:szCs w:val="22"/>
        </w:rPr>
        <w:t>vrednosti stranskih pridelkov (skupna vrednost zmanjšana za morebitno interno realizacijo)</w:t>
      </w:r>
      <w:r w:rsidR="001E2F0F" w:rsidRPr="003E4383">
        <w:rPr>
          <w:rFonts w:ascii="Verdana" w:hAnsi="Verdana"/>
          <w:szCs w:val="22"/>
        </w:rPr>
        <w:t>;</w:t>
      </w:r>
    </w:p>
    <w:p w:rsidR="00AD0E2E" w:rsidRPr="003E4383" w:rsidRDefault="00025C35" w:rsidP="003E4383">
      <w:pPr>
        <w:numPr>
          <w:ilvl w:val="0"/>
          <w:numId w:val="12"/>
        </w:numPr>
        <w:spacing w:after="120"/>
        <w:ind w:left="357" w:hanging="357"/>
        <w:rPr>
          <w:rFonts w:ascii="Verdana" w:hAnsi="Verdana"/>
          <w:szCs w:val="22"/>
        </w:rPr>
      </w:pPr>
      <w:r w:rsidRPr="003E4383">
        <w:rPr>
          <w:rFonts w:ascii="Verdana" w:hAnsi="Verdana"/>
          <w:szCs w:val="22"/>
        </w:rPr>
        <w:t>vrednosti subvencij (enak</w:t>
      </w:r>
      <w:r w:rsidR="00837441">
        <w:rPr>
          <w:rFonts w:ascii="Verdana" w:hAnsi="Verdana"/>
          <w:szCs w:val="22"/>
        </w:rPr>
        <w:t>a</w:t>
      </w:r>
      <w:r w:rsidRPr="003E4383">
        <w:rPr>
          <w:rFonts w:ascii="Verdana" w:hAnsi="Verdana"/>
          <w:szCs w:val="22"/>
        </w:rPr>
        <w:t xml:space="preserve"> kot pri izračunu stroškov</w:t>
      </w:r>
      <w:r w:rsidR="00B170B7">
        <w:rPr>
          <w:rFonts w:ascii="Verdana" w:hAnsi="Verdana"/>
          <w:szCs w:val="22"/>
        </w:rPr>
        <w:t>;</w:t>
      </w:r>
      <w:r w:rsidRPr="003E4383">
        <w:rPr>
          <w:rFonts w:ascii="Verdana" w:hAnsi="Verdana"/>
          <w:szCs w:val="22"/>
        </w:rPr>
        <w:t xml:space="preserve"> glej zgoraj)</w:t>
      </w:r>
      <w:r w:rsidR="00AD0E2E" w:rsidRPr="003E4383">
        <w:rPr>
          <w:rFonts w:ascii="Verdana" w:hAnsi="Verdana"/>
          <w:szCs w:val="22"/>
        </w:rPr>
        <w:t>.</w:t>
      </w:r>
    </w:p>
    <w:p w:rsidR="005D3EB9" w:rsidRPr="00365846" w:rsidRDefault="004824F8" w:rsidP="003E4383">
      <w:pPr>
        <w:pStyle w:val="Telobesedila"/>
      </w:pPr>
      <w:r w:rsidRPr="00365846">
        <w:t>Pri izračunih pokritja so se pod vplivom tuje literature uveljavile različne metode. Metode se med seboj razlikujejo po tem, kako oz</w:t>
      </w:r>
      <w:r w:rsidR="00837441">
        <w:t>.</w:t>
      </w:r>
      <w:r w:rsidRPr="00365846">
        <w:t xml:space="preserve"> na kakšni ravni obravnavajo </w:t>
      </w:r>
      <w:r w:rsidR="001E2F0F" w:rsidRPr="00365846">
        <w:t>neposredne spremenljive</w:t>
      </w:r>
      <w:r w:rsidRPr="00365846">
        <w:t xml:space="preserve"> stroške posameznega stroškovnega nosilca. </w:t>
      </w:r>
    </w:p>
    <w:p w:rsidR="00FE113E" w:rsidRDefault="005D3EB9" w:rsidP="007079BC">
      <w:pPr>
        <w:pStyle w:val="Telobesedila"/>
      </w:pPr>
      <w:r w:rsidRPr="00365846">
        <w:rPr>
          <w:b/>
        </w:rPr>
        <w:t>Bruto dodana vrednost</w:t>
      </w:r>
      <w:r w:rsidRPr="00365846">
        <w:t xml:space="preserve"> je izračunana kot razlika med vrednostjo pridelave in stroški kupljenega materiala in storitev iz elementarne kalkulacije.</w:t>
      </w:r>
      <w:r w:rsidR="00837441">
        <w:t xml:space="preserve"> </w:t>
      </w:r>
      <w:r w:rsidRPr="00365846">
        <w:rPr>
          <w:b/>
        </w:rPr>
        <w:t>Neto dodana vrednost</w:t>
      </w:r>
      <w:r w:rsidRPr="00365846">
        <w:t xml:space="preserve"> je bruto dodana vrednost</w:t>
      </w:r>
      <w:r w:rsidR="001E2F0F" w:rsidRPr="00365846">
        <w:t>,</w:t>
      </w:r>
      <w:r w:rsidRPr="00365846">
        <w:t xml:space="preserve"> zmanjšana za stroške amortizacije iz elementarne kalkulacije.</w:t>
      </w:r>
      <w:r w:rsidR="007474E4">
        <w:t xml:space="preserve"> </w:t>
      </w:r>
      <w:r w:rsidRPr="00365846">
        <w:t xml:space="preserve">Kazalca bruto in neto dodana vrednost sta </w:t>
      </w:r>
      <w:r w:rsidR="00FE113E" w:rsidRPr="00365846">
        <w:t>podobna</w:t>
      </w:r>
      <w:r w:rsidR="003E4383">
        <w:t>,</w:t>
      </w:r>
      <w:r w:rsidR="00FE113E" w:rsidRPr="00365846">
        <w:t xml:space="preserve"> vendar metodološko ne povsem enaka bruto in neto dodani vrednosti</w:t>
      </w:r>
      <w:r w:rsidR="001E2F0F" w:rsidRPr="00365846">
        <w:t>,</w:t>
      </w:r>
      <w:r w:rsidR="00FE113E" w:rsidRPr="00365846">
        <w:t xml:space="preserve"> kot jih opredeljuje</w:t>
      </w:r>
      <w:r w:rsidR="003E4383">
        <w:t>jo</w:t>
      </w:r>
      <w:r w:rsidR="00FE113E" w:rsidRPr="00365846">
        <w:t xml:space="preserve"> </w:t>
      </w:r>
      <w:r w:rsidR="003E4383">
        <w:t>'</w:t>
      </w:r>
      <w:r w:rsidR="00FE113E" w:rsidRPr="00365846">
        <w:t>Ekonomski račun</w:t>
      </w:r>
      <w:r w:rsidR="003E4383">
        <w:t>i</w:t>
      </w:r>
      <w:r w:rsidR="00FE113E" w:rsidRPr="00365846">
        <w:t xml:space="preserve"> za kmetijstvo</w:t>
      </w:r>
      <w:r w:rsidR="003E4383">
        <w:t>' (SURS)</w:t>
      </w:r>
      <w:r w:rsidR="00FE113E" w:rsidRPr="00365846">
        <w:t>. Razlika je v nekoliko drugačni obravnavi subvencij in plačanega dela.</w:t>
      </w:r>
    </w:p>
    <w:p w:rsidR="00AB5EEA" w:rsidRPr="007079BC" w:rsidRDefault="00AB5EEA" w:rsidP="007079BC">
      <w:pPr>
        <w:pStyle w:val="Telobesedila"/>
      </w:pPr>
      <w:r w:rsidRPr="007079BC">
        <w:rPr>
          <w:b/>
        </w:rPr>
        <w:t>Paritetni dohodek</w:t>
      </w:r>
      <w:r w:rsidRPr="007079BC">
        <w:t xml:space="preserve"> oziroma primerljiv dohodek ni absolutna kategorija. Dohodek, ki je </w:t>
      </w:r>
      <w:r w:rsidR="003320A9" w:rsidRPr="007079BC">
        <w:t>v izhodiščn</w:t>
      </w:r>
      <w:r w:rsidR="00066E40">
        <w:t>ih</w:t>
      </w:r>
      <w:r w:rsidR="003320A9" w:rsidRPr="007079BC">
        <w:t xml:space="preserve"> model</w:t>
      </w:r>
      <w:r w:rsidR="00066E40">
        <w:t>ih</w:t>
      </w:r>
      <w:r w:rsidR="003320A9" w:rsidRPr="007079BC">
        <w:t xml:space="preserve"> opredeljen</w:t>
      </w:r>
      <w:r w:rsidRPr="007079BC">
        <w:t xml:space="preserve"> kot paritetni dohodek odgovarja predpostavki, da gre za poklicno kmetijo, katere dohodek naj bi bil v čim večji meri primerljiv z zaposle</w:t>
      </w:r>
      <w:r w:rsidR="00DD65DF" w:rsidRPr="007079BC">
        <w:t xml:space="preserve">nimi </w:t>
      </w:r>
      <w:r w:rsidRPr="007079BC">
        <w:t>v gospodarstvu Slovenije. Paritetni dohodek v izhodiščn</w:t>
      </w:r>
      <w:r w:rsidR="00066E40">
        <w:t>ih</w:t>
      </w:r>
      <w:r w:rsidRPr="007079BC">
        <w:t xml:space="preserve"> model</w:t>
      </w:r>
      <w:r w:rsidR="00066E40">
        <w:t>ih</w:t>
      </w:r>
      <w:r w:rsidRPr="007079BC">
        <w:t xml:space="preserve"> vključuje:</w:t>
      </w:r>
    </w:p>
    <w:p w:rsidR="00AB5EEA" w:rsidRPr="007079BC" w:rsidRDefault="00AB5EEA" w:rsidP="007079BC">
      <w:pPr>
        <w:numPr>
          <w:ilvl w:val="0"/>
          <w:numId w:val="1"/>
        </w:numPr>
        <w:ind w:left="714" w:hanging="357"/>
        <w:rPr>
          <w:rFonts w:ascii="Verdana" w:hAnsi="Verdana"/>
          <w:szCs w:val="22"/>
        </w:rPr>
      </w:pPr>
      <w:r w:rsidRPr="007079BC">
        <w:rPr>
          <w:rFonts w:ascii="Verdana" w:hAnsi="Verdana"/>
          <w:szCs w:val="22"/>
        </w:rPr>
        <w:t>neto plačo v višini povprečne neto plače v Sloveniji,</w:t>
      </w:r>
    </w:p>
    <w:p w:rsidR="00AB5EEA" w:rsidRPr="007079BC" w:rsidRDefault="00AB5EEA" w:rsidP="00AB5EEA">
      <w:pPr>
        <w:numPr>
          <w:ilvl w:val="0"/>
          <w:numId w:val="1"/>
        </w:numPr>
        <w:rPr>
          <w:rFonts w:ascii="Verdana" w:hAnsi="Verdana"/>
          <w:szCs w:val="22"/>
        </w:rPr>
      </w:pPr>
      <w:r w:rsidRPr="007079BC">
        <w:rPr>
          <w:rFonts w:ascii="Verdana" w:hAnsi="Verdana"/>
          <w:szCs w:val="22"/>
        </w:rPr>
        <w:t>obvezne prispevke iz naslova zdravstvenega in pokojninskega zavarovanja kmetov,</w:t>
      </w:r>
    </w:p>
    <w:p w:rsidR="00AB5EEA" w:rsidRPr="007079BC" w:rsidRDefault="00AB5EEA" w:rsidP="00AB5EEA">
      <w:pPr>
        <w:numPr>
          <w:ilvl w:val="0"/>
          <w:numId w:val="1"/>
        </w:numPr>
        <w:rPr>
          <w:rFonts w:ascii="Verdana" w:hAnsi="Verdana"/>
          <w:szCs w:val="22"/>
        </w:rPr>
      </w:pPr>
      <w:r w:rsidRPr="007079BC">
        <w:rPr>
          <w:rFonts w:ascii="Verdana" w:hAnsi="Verdana"/>
          <w:szCs w:val="22"/>
        </w:rPr>
        <w:t xml:space="preserve">dodatne (prostovoljne) prispevke iz naslova zdravstvenega in pokojninskega zavarovanja kmetov, ki zagotavljajo z delavci primerljivo raven pravic, </w:t>
      </w:r>
    </w:p>
    <w:p w:rsidR="00AB5EEA" w:rsidRPr="007079BC" w:rsidRDefault="00AB5EEA" w:rsidP="00AB5EEA">
      <w:pPr>
        <w:numPr>
          <w:ilvl w:val="0"/>
          <w:numId w:val="1"/>
        </w:numPr>
        <w:rPr>
          <w:rFonts w:ascii="Verdana" w:hAnsi="Verdana"/>
          <w:szCs w:val="22"/>
        </w:rPr>
      </w:pPr>
      <w:r w:rsidRPr="007079BC">
        <w:rPr>
          <w:rFonts w:ascii="Verdana" w:hAnsi="Verdana"/>
          <w:szCs w:val="22"/>
        </w:rPr>
        <w:t>pravice iz dela (plačani bolniški in redni letni dopust, regres, regres za malico),</w:t>
      </w:r>
    </w:p>
    <w:p w:rsidR="00AB5EEA" w:rsidRPr="007079BC" w:rsidRDefault="00AB5EEA" w:rsidP="007079BC">
      <w:pPr>
        <w:numPr>
          <w:ilvl w:val="0"/>
          <w:numId w:val="1"/>
        </w:numPr>
        <w:spacing w:after="120"/>
        <w:ind w:left="714" w:hanging="357"/>
        <w:rPr>
          <w:rFonts w:ascii="Verdana" w:hAnsi="Verdana"/>
          <w:szCs w:val="22"/>
        </w:rPr>
      </w:pPr>
      <w:r w:rsidRPr="007079BC">
        <w:rPr>
          <w:rFonts w:ascii="Verdana" w:hAnsi="Verdana"/>
          <w:szCs w:val="22"/>
        </w:rPr>
        <w:t>davke iz KD in stroške kapitala.</w:t>
      </w:r>
    </w:p>
    <w:p w:rsidR="001E2F0F" w:rsidRPr="0034453E" w:rsidRDefault="0034453E" w:rsidP="00DD6A94">
      <w:pPr>
        <w:pStyle w:val="Naslov2"/>
      </w:pPr>
      <w:r w:rsidRPr="0034453E">
        <w:lastRenderedPageBreak/>
        <w:t>Prikaz rezultatov modelnih kalkulacij</w:t>
      </w:r>
    </w:p>
    <w:p w:rsidR="0034453E" w:rsidRPr="00365846" w:rsidRDefault="0034453E" w:rsidP="0034453E">
      <w:pPr>
        <w:pStyle w:val="Telobesedila"/>
      </w:pPr>
      <w:r w:rsidRPr="0034453E">
        <w:t>Rezultati modelnih kalkulacij</w:t>
      </w:r>
      <w:r>
        <w:t xml:space="preserve"> so </w:t>
      </w:r>
      <w:r w:rsidRPr="0034453E">
        <w:t xml:space="preserve">prikazani </w:t>
      </w:r>
      <w:r>
        <w:t xml:space="preserve">v obliki </w:t>
      </w:r>
      <w:r w:rsidRPr="0034453E">
        <w:t xml:space="preserve">zadnje (aktualne) analitične kalkulacije </w:t>
      </w:r>
      <w:r>
        <w:t xml:space="preserve">za posamezen pridelek </w:t>
      </w:r>
      <w:r w:rsidRPr="0034453E">
        <w:t xml:space="preserve">v celoti </w:t>
      </w:r>
      <w:r w:rsidR="00CC0101">
        <w:t>ter</w:t>
      </w:r>
      <w:r>
        <w:t xml:space="preserve"> zbirnikov </w:t>
      </w:r>
      <w:r w:rsidR="00CC0101">
        <w:t xml:space="preserve">osnovnih rezultatov </w:t>
      </w:r>
      <w:r>
        <w:t xml:space="preserve">kalkulacij </w:t>
      </w:r>
      <w:r w:rsidRPr="0034453E">
        <w:t>za celotno obdobje od leta 1992 dalje.</w:t>
      </w:r>
      <w:r w:rsidR="00CC0101">
        <w:t xml:space="preserve"> </w:t>
      </w:r>
    </w:p>
    <w:p w:rsidR="00D70C81" w:rsidRDefault="00247683" w:rsidP="00837441">
      <w:pPr>
        <w:pStyle w:val="Telobesedila"/>
      </w:pPr>
      <w:r w:rsidRPr="00365846">
        <w:t xml:space="preserve">V zgornjem delu zbirnikov </w:t>
      </w:r>
      <w:r w:rsidR="0034453E">
        <w:t xml:space="preserve">so </w:t>
      </w:r>
      <w:r w:rsidRPr="00365846">
        <w:t>povze</w:t>
      </w:r>
      <w:r w:rsidR="0034453E">
        <w:t>ti</w:t>
      </w:r>
      <w:r w:rsidRPr="00365846">
        <w:t xml:space="preserve"> glavn</w:t>
      </w:r>
      <w:r w:rsidR="0034453E">
        <w:t>i</w:t>
      </w:r>
      <w:r w:rsidRPr="00365846">
        <w:t xml:space="preserve"> podatk</w:t>
      </w:r>
      <w:r w:rsidR="0034453E">
        <w:t>i</w:t>
      </w:r>
      <w:r w:rsidRPr="00365846">
        <w:t xml:space="preserve"> analitičnih kalkulacij. Ta del se konča z izračunom stroškov</w:t>
      </w:r>
      <w:r w:rsidR="002513CB" w:rsidRPr="00365846">
        <w:t>,</w:t>
      </w:r>
      <w:r w:rsidRPr="00365846">
        <w:t xml:space="preserve"> zmanjšanih za subvencije</w:t>
      </w:r>
      <w:r w:rsidR="0034453E">
        <w:t xml:space="preserve"> in preračunanih</w:t>
      </w:r>
      <w:r w:rsidRPr="00365846">
        <w:t xml:space="preserve"> na enoto. Ta podatek je neposredno primerljiv z doseženo odkupno ceno. V spodnjem delu (obračun dohodka) so prikazani glavni agregati prihodka in dohodka ter glavne stroškovne skupine elementarne kalkulacije. </w:t>
      </w:r>
      <w:r w:rsidR="004824F8" w:rsidRPr="00365846">
        <w:t>V tem delu sta neposredno pr</w:t>
      </w:r>
      <w:r w:rsidR="002513CB" w:rsidRPr="00365846">
        <w:t>i</w:t>
      </w:r>
      <w:r w:rsidR="004824F8" w:rsidRPr="00365846">
        <w:t>merljivi kategoriji, ki kažeta na ekonomsko uspešnost pridelave</w:t>
      </w:r>
      <w:r w:rsidR="002513CB" w:rsidRPr="00365846">
        <w:t>,</w:t>
      </w:r>
      <w:r w:rsidR="004824F8" w:rsidRPr="00365846">
        <w:t xml:space="preserve"> neto dodana vrednost na strani realizacije in stroški dela in kapitala na strani stroškov.</w:t>
      </w:r>
      <w:r w:rsidRPr="00365846">
        <w:t xml:space="preserve"> </w:t>
      </w:r>
      <w:r w:rsidR="00FE113E" w:rsidRPr="00365846">
        <w:t xml:space="preserve">   </w:t>
      </w:r>
    </w:p>
    <w:p w:rsidR="00AB5EEA" w:rsidRPr="007079BC" w:rsidRDefault="00D70C81" w:rsidP="00733C69">
      <w:pPr>
        <w:rPr>
          <w:rFonts w:ascii="Verdana" w:hAnsi="Verdana"/>
          <w:szCs w:val="22"/>
        </w:rPr>
      </w:pPr>
      <w:r w:rsidRPr="007079BC">
        <w:rPr>
          <w:rFonts w:ascii="Verdana" w:hAnsi="Verdana"/>
          <w:szCs w:val="22"/>
        </w:rPr>
        <w:t xml:space="preserve">Na ravni povprečne letine </w:t>
      </w:r>
      <w:r w:rsidR="003320A9" w:rsidRPr="007079BC">
        <w:rPr>
          <w:rFonts w:ascii="Verdana" w:hAnsi="Verdana"/>
          <w:szCs w:val="22"/>
        </w:rPr>
        <w:t>so</w:t>
      </w:r>
      <w:r w:rsidR="00733C69" w:rsidRPr="007079BC">
        <w:rPr>
          <w:rFonts w:ascii="Verdana" w:hAnsi="Verdana"/>
          <w:szCs w:val="22"/>
        </w:rPr>
        <w:t xml:space="preserve"> za rastlinske pridelke pripravljen</w:t>
      </w:r>
      <w:r w:rsidR="003320A9" w:rsidRPr="007079BC">
        <w:rPr>
          <w:rFonts w:ascii="Verdana" w:hAnsi="Verdana"/>
          <w:szCs w:val="22"/>
        </w:rPr>
        <w:t>i</w:t>
      </w:r>
      <w:r w:rsidR="00AB5EEA" w:rsidRPr="007079BC">
        <w:rPr>
          <w:rFonts w:ascii="Verdana" w:hAnsi="Verdana"/>
          <w:szCs w:val="22"/>
        </w:rPr>
        <w:t>:</w:t>
      </w:r>
    </w:p>
    <w:p w:rsidR="00AB5EEA" w:rsidRPr="007079BC" w:rsidRDefault="00733C69" w:rsidP="003320A9">
      <w:pPr>
        <w:numPr>
          <w:ilvl w:val="0"/>
          <w:numId w:val="25"/>
        </w:numPr>
        <w:spacing w:before="60" w:after="60"/>
        <w:ind w:left="714" w:hanging="357"/>
        <w:rPr>
          <w:rFonts w:ascii="Verdana" w:hAnsi="Verdana"/>
          <w:szCs w:val="22"/>
        </w:rPr>
      </w:pPr>
      <w:r w:rsidRPr="007079BC">
        <w:rPr>
          <w:rFonts w:ascii="Verdana" w:hAnsi="Verdana"/>
          <w:szCs w:val="22"/>
        </w:rPr>
        <w:t xml:space="preserve">pregled in prikaz ekonomskih kazalcev v primerjavi s predhodno letino </w:t>
      </w:r>
      <w:r w:rsidR="00AB5EEA" w:rsidRPr="007079BC">
        <w:rPr>
          <w:rFonts w:ascii="Verdana" w:hAnsi="Verdana"/>
          <w:szCs w:val="22"/>
        </w:rPr>
        <w:t>ter</w:t>
      </w:r>
    </w:p>
    <w:p w:rsidR="00BC3909" w:rsidRPr="007079BC" w:rsidRDefault="00733C69" w:rsidP="00BC3909">
      <w:pPr>
        <w:numPr>
          <w:ilvl w:val="0"/>
          <w:numId w:val="25"/>
        </w:numPr>
        <w:spacing w:after="60"/>
        <w:ind w:left="714" w:hanging="357"/>
      </w:pPr>
      <w:r w:rsidRPr="007079BC">
        <w:rPr>
          <w:rFonts w:ascii="Verdana" w:hAnsi="Verdana"/>
        </w:rPr>
        <w:t xml:space="preserve">analiza stroškov, prihodkov in ekonomske uspešnosti, glede na različno intenzivnost </w:t>
      </w:r>
      <w:r w:rsidR="007079BC" w:rsidRPr="007079BC">
        <w:rPr>
          <w:rFonts w:ascii="Verdana" w:hAnsi="Verdana"/>
        </w:rPr>
        <w:t>ter</w:t>
      </w:r>
      <w:r w:rsidRPr="007079BC">
        <w:rPr>
          <w:rFonts w:ascii="Verdana" w:hAnsi="Verdana"/>
        </w:rPr>
        <w:t xml:space="preserve"> obseg pridelovanja</w:t>
      </w:r>
      <w:r w:rsidR="00BC3909" w:rsidRPr="007079BC">
        <w:rPr>
          <w:rFonts w:ascii="Verdana" w:hAnsi="Verdana"/>
        </w:rPr>
        <w:t>.</w:t>
      </w:r>
    </w:p>
    <w:p w:rsidR="00DD65DF" w:rsidRPr="007079BC" w:rsidRDefault="00AB5EEA" w:rsidP="007079BC">
      <w:pPr>
        <w:spacing w:after="120"/>
        <w:rPr>
          <w:rFonts w:ascii="Verdana" w:hAnsi="Verdana"/>
          <w:szCs w:val="22"/>
        </w:rPr>
      </w:pPr>
      <w:r w:rsidRPr="007079BC">
        <w:rPr>
          <w:rFonts w:ascii="Verdana" w:hAnsi="Verdana"/>
          <w:szCs w:val="22"/>
        </w:rPr>
        <w:t>Ker na stopnjo doseženega paritetnega dohodka p</w:t>
      </w:r>
      <w:r w:rsidR="00733C69" w:rsidRPr="007079BC">
        <w:rPr>
          <w:rFonts w:ascii="Verdana" w:hAnsi="Verdana"/>
          <w:szCs w:val="22"/>
        </w:rPr>
        <w:t xml:space="preserve">oleg intenzivnosti in obsega pridelovanja </w:t>
      </w:r>
      <w:r w:rsidRPr="007079BC">
        <w:rPr>
          <w:rFonts w:ascii="Verdana" w:hAnsi="Verdana"/>
          <w:szCs w:val="22"/>
        </w:rPr>
        <w:t>v</w:t>
      </w:r>
      <w:r w:rsidR="00733C69" w:rsidRPr="007079BC">
        <w:rPr>
          <w:rFonts w:ascii="Verdana" w:hAnsi="Verdana"/>
          <w:szCs w:val="22"/>
        </w:rPr>
        <w:t>pliva</w:t>
      </w:r>
      <w:r w:rsidRPr="007079BC">
        <w:rPr>
          <w:rFonts w:ascii="Verdana" w:hAnsi="Verdana"/>
          <w:szCs w:val="22"/>
        </w:rPr>
        <w:t>jo tudi</w:t>
      </w:r>
      <w:r w:rsidR="00733C69" w:rsidRPr="007079BC">
        <w:rPr>
          <w:rFonts w:ascii="Verdana" w:hAnsi="Verdana"/>
          <w:szCs w:val="22"/>
        </w:rPr>
        <w:t xml:space="preserve"> pričakovanj</w:t>
      </w:r>
      <w:r w:rsidRPr="007079BC">
        <w:rPr>
          <w:rFonts w:ascii="Verdana" w:hAnsi="Verdana"/>
          <w:szCs w:val="22"/>
        </w:rPr>
        <w:t>a</w:t>
      </w:r>
      <w:r w:rsidR="00733C69" w:rsidRPr="007079BC">
        <w:rPr>
          <w:rFonts w:ascii="Verdana" w:hAnsi="Verdana"/>
          <w:szCs w:val="22"/>
        </w:rPr>
        <w:t xml:space="preserve"> (oziroma alternativn</w:t>
      </w:r>
      <w:r w:rsidRPr="007079BC">
        <w:rPr>
          <w:rFonts w:ascii="Verdana" w:hAnsi="Verdana"/>
          <w:szCs w:val="22"/>
        </w:rPr>
        <w:t>e</w:t>
      </w:r>
      <w:r w:rsidR="00733C69" w:rsidRPr="007079BC">
        <w:rPr>
          <w:rFonts w:ascii="Verdana" w:hAnsi="Verdana"/>
          <w:szCs w:val="22"/>
        </w:rPr>
        <w:t xml:space="preserve"> možnosti zapos</w:t>
      </w:r>
      <w:r w:rsidRPr="007079BC">
        <w:rPr>
          <w:rFonts w:ascii="Verdana" w:hAnsi="Verdana"/>
          <w:szCs w:val="22"/>
        </w:rPr>
        <w:t>litve) posameznega pridelovalca so re</w:t>
      </w:r>
      <w:r w:rsidR="00733C69" w:rsidRPr="007079BC">
        <w:rPr>
          <w:rFonts w:ascii="Verdana" w:hAnsi="Verdana"/>
          <w:szCs w:val="22"/>
        </w:rPr>
        <w:t>zultati prikazani za tri različne ravni paritetnega dohodka.</w:t>
      </w:r>
      <w:r w:rsidR="003320A9" w:rsidRPr="007079BC">
        <w:rPr>
          <w:rFonts w:ascii="Verdana" w:hAnsi="Verdana"/>
          <w:szCs w:val="22"/>
        </w:rPr>
        <w:t xml:space="preserve"> Prikazana je raven paritetnega dohodka kot je opredeljena v izhodiščnem modelu (»Polne dajatve in pravice iz dela«)</w:t>
      </w:r>
      <w:r w:rsidR="003870A1" w:rsidRPr="007079BC">
        <w:rPr>
          <w:rFonts w:ascii="Verdana" w:hAnsi="Verdana"/>
          <w:szCs w:val="22"/>
        </w:rPr>
        <w:t xml:space="preserve">. </w:t>
      </w:r>
      <w:r w:rsidR="00DD65DF" w:rsidRPr="007079BC">
        <w:rPr>
          <w:rFonts w:ascii="Verdana" w:hAnsi="Verdana"/>
          <w:szCs w:val="22"/>
        </w:rPr>
        <w:t xml:space="preserve">Variantno </w:t>
      </w:r>
      <w:r w:rsidR="002F3771" w:rsidRPr="007079BC">
        <w:rPr>
          <w:rFonts w:ascii="Verdana" w:hAnsi="Verdana"/>
          <w:szCs w:val="22"/>
        </w:rPr>
        <w:t xml:space="preserve">je </w:t>
      </w:r>
      <w:r w:rsidR="00DD65DF" w:rsidRPr="007079BC">
        <w:rPr>
          <w:rFonts w:ascii="Verdana" w:hAnsi="Verdana"/>
          <w:szCs w:val="22"/>
        </w:rPr>
        <w:t xml:space="preserve">prikazana </w:t>
      </w:r>
      <w:r w:rsidR="002F3771" w:rsidRPr="007079BC">
        <w:rPr>
          <w:rFonts w:ascii="Verdana" w:hAnsi="Verdana"/>
          <w:szCs w:val="22"/>
        </w:rPr>
        <w:t xml:space="preserve">tudi </w:t>
      </w:r>
      <w:r w:rsidR="00DD65DF" w:rsidRPr="007079BC">
        <w:rPr>
          <w:rFonts w:ascii="Verdana" w:hAnsi="Verdana"/>
          <w:szCs w:val="22"/>
        </w:rPr>
        <w:t>zmanjšana raven paritetnega dohodka »Minimalne obveznosti iz dela«</w:t>
      </w:r>
      <w:r w:rsidR="002F3771" w:rsidRPr="007079BC">
        <w:rPr>
          <w:rFonts w:ascii="Verdana" w:hAnsi="Verdana"/>
          <w:szCs w:val="22"/>
        </w:rPr>
        <w:t>, ki</w:t>
      </w:r>
      <w:r w:rsidR="00DD65DF" w:rsidRPr="007079BC">
        <w:rPr>
          <w:rFonts w:ascii="Verdana" w:hAnsi="Verdana"/>
          <w:szCs w:val="22"/>
        </w:rPr>
        <w:t xml:space="preserve"> se še vedno nanaša na poklicno kmetijo, ne vključuje pa prostovoljnih dajatev (c) in pravic iz dela (d). Ta varianta torej vključuje primerljivo neto plačo, obvezne dajatve za kmeta in stroške kapitala. V Sloveniji je verjetno precej kmetov, katerih pričakovanja so na tej ravni in bodo torej pripravljeni pridelovati pri cenah, ki jih v grafikonu prikazuje krivulja minimalne obveznosti iz dela. Najnižjo raven paritetnega dohodka predstavlja varianta »Brez dajatev in pravic iz dela«, ki je verjetno sprejemljiva za dopolnilne kmetije, ki ne plačujejo obveznih dajatev za zdravstveno in pokojninsko zavarovanje z naslova kmetijstva. Pri tej varianti sta v paritetni dohodek vključeni le postavki a in e. </w:t>
      </w:r>
    </w:p>
    <w:p w:rsidR="00733C69" w:rsidRPr="007079BC" w:rsidRDefault="00AB5EEA" w:rsidP="00733C69">
      <w:pPr>
        <w:rPr>
          <w:rFonts w:ascii="Verdana" w:hAnsi="Verdana"/>
          <w:szCs w:val="22"/>
        </w:rPr>
      </w:pPr>
      <w:r w:rsidRPr="007079BC">
        <w:rPr>
          <w:rFonts w:ascii="Verdana" w:hAnsi="Verdana"/>
          <w:szCs w:val="22"/>
        </w:rPr>
        <w:t>Cenovne meje doseganja različne ravni paritetnega dohodka pri različni intenzivnosti pridelave in obsega pridelave so prikazane v grafični obliki. Izračuni v nekaterih delih grafikonov imajo bolj teoretičen kot praktičen pomen, saj je potrebno upoštevati razumne odnose med pričakovanji glede višine paritetnega dohodka in intenzivnostjo ter koncentracijo pridelave. Pri nizkih pridelkih in nizki koncentraciji ni pričakovati, da bo cena pokrivala paritetni dohodek na ravni polnih dajatev in pravic iz dela. Na drugi strani tudi ni pričakovati, da bodo pridelovalci z nizkimi pričakovanji glede paritetnega dohodka (praviloma dopolnilne kmetije), pridelovali na velikih parcelah in dosegali zelo visoke pridelke. Pri praktični presoji je torej treba zgornji levi in spodnji desni del obarvanega polja v grafikonih jemati bolj kot teoretično možnost.</w:t>
      </w:r>
    </w:p>
    <w:p w:rsidR="008D57DF" w:rsidRDefault="001B0809" w:rsidP="00DF27AC">
      <w:pPr>
        <w:pStyle w:val="Naslov1"/>
      </w:pPr>
      <w:r>
        <w:br w:type="page"/>
      </w:r>
      <w:r w:rsidR="00B061BE" w:rsidRPr="00837441">
        <w:lastRenderedPageBreak/>
        <w:t xml:space="preserve">DODATNA SPECIFIČNA POJASNILA ZA </w:t>
      </w:r>
      <w:r w:rsidR="008D57DF" w:rsidRPr="00837441">
        <w:t>RASTLINSK</w:t>
      </w:r>
      <w:r w:rsidR="00B061BE" w:rsidRPr="00837441">
        <w:t>E</w:t>
      </w:r>
      <w:r w:rsidR="008D57DF" w:rsidRPr="00837441">
        <w:t xml:space="preserve"> PRIDEL</w:t>
      </w:r>
      <w:r w:rsidR="00B061BE" w:rsidRPr="00837441">
        <w:t>KE</w:t>
      </w:r>
    </w:p>
    <w:p w:rsidR="00B061BE" w:rsidRPr="00B061BE" w:rsidRDefault="00B061BE" w:rsidP="00B061BE"/>
    <w:bookmarkEnd w:id="0"/>
    <w:bookmarkEnd w:id="1"/>
    <w:bookmarkEnd w:id="2"/>
    <w:bookmarkEnd w:id="3"/>
    <w:bookmarkEnd w:id="4"/>
    <w:bookmarkEnd w:id="5"/>
    <w:p w:rsidR="009244D3" w:rsidRPr="00365846" w:rsidRDefault="00D604A3" w:rsidP="00D9000F">
      <w:pPr>
        <w:pStyle w:val="Telobesedila"/>
        <w:numPr>
          <w:ilvl w:val="0"/>
          <w:numId w:val="4"/>
        </w:numPr>
      </w:pPr>
      <w:r w:rsidRPr="00365846">
        <w:t xml:space="preserve">V poljedelstvu in </w:t>
      </w:r>
      <w:r w:rsidR="00CC0101">
        <w:t xml:space="preserve">pri </w:t>
      </w:r>
      <w:r w:rsidRPr="00365846">
        <w:t>pridelovanju krme je p</w:t>
      </w:r>
      <w:r w:rsidR="004B6618" w:rsidRPr="00365846">
        <w:t>oraba dela (živega in s</w:t>
      </w:r>
      <w:r w:rsidRPr="00365846">
        <w:t xml:space="preserve">trojnega) </w:t>
      </w:r>
      <w:r w:rsidR="004B6618" w:rsidRPr="00365846">
        <w:t xml:space="preserve">opredeljena na podlagi normativov ob upoštevanju predpostavljene velikosti </w:t>
      </w:r>
      <w:proofErr w:type="spellStart"/>
      <w:r w:rsidR="004B6618" w:rsidRPr="00365846">
        <w:t>poljine</w:t>
      </w:r>
      <w:proofErr w:type="spellEnd"/>
      <w:r w:rsidR="004B6618" w:rsidRPr="00365846">
        <w:t xml:space="preserve"> 1 ha, ki je od gospodarstva oddaljena 1 km</w:t>
      </w:r>
      <w:r w:rsidRPr="00365846">
        <w:t>, v sadjarstvu in vinogradništvu pa je poraba dela (živega in strojnega) opredeljena na podlagi normativov ob upoštevanju tehnologije pridelovanja, opremljenosti z mehanizacijo in drugih specifičnih značilnosti.</w:t>
      </w:r>
    </w:p>
    <w:p w:rsidR="00D604A3" w:rsidRPr="00365846" w:rsidRDefault="004B6618" w:rsidP="00D9000F">
      <w:pPr>
        <w:pStyle w:val="Telobesedila"/>
        <w:numPr>
          <w:ilvl w:val="0"/>
          <w:numId w:val="4"/>
        </w:numPr>
      </w:pPr>
      <w:r w:rsidRPr="00365846">
        <w:t>Poraba dela za pos</w:t>
      </w:r>
      <w:r w:rsidRPr="00365846">
        <w:rPr>
          <w:szCs w:val="22"/>
        </w:rPr>
        <w:t xml:space="preserve">amezno fazo pri strojnih storitvah vključuje tudi pripravo strojev in prevoz do </w:t>
      </w:r>
      <w:proofErr w:type="spellStart"/>
      <w:r w:rsidRPr="00365846">
        <w:rPr>
          <w:szCs w:val="22"/>
        </w:rPr>
        <w:t>poljine</w:t>
      </w:r>
      <w:proofErr w:type="spellEnd"/>
      <w:r w:rsidR="00D604A3" w:rsidRPr="00365846">
        <w:rPr>
          <w:szCs w:val="22"/>
        </w:rPr>
        <w:t xml:space="preserve"> oz. nasada</w:t>
      </w:r>
      <w:r w:rsidRPr="00365846">
        <w:rPr>
          <w:szCs w:val="22"/>
        </w:rPr>
        <w:t xml:space="preserve">. Pri izračunu stroškov strojnih storitev </w:t>
      </w:r>
      <w:r w:rsidR="002513CB" w:rsidRPr="00365846">
        <w:rPr>
          <w:szCs w:val="22"/>
        </w:rPr>
        <w:t>je</w:t>
      </w:r>
      <w:r w:rsidRPr="00365846">
        <w:rPr>
          <w:szCs w:val="22"/>
        </w:rPr>
        <w:t xml:space="preserve"> upošteva</w:t>
      </w:r>
      <w:r w:rsidR="002513CB" w:rsidRPr="00365846">
        <w:rPr>
          <w:szCs w:val="22"/>
        </w:rPr>
        <w:t>n</w:t>
      </w:r>
      <w:r w:rsidRPr="00365846">
        <w:rPr>
          <w:szCs w:val="22"/>
        </w:rPr>
        <w:t xml:space="preserve"> splošni kriterij, da mora biti posamezni agregat, ki ga ima kmetija v lasti, izkoriščen vsaj toliko ur, da je strošek lastne strojne storitve manjši (ali enak) strošku najete storitve s podobnim agregatom</w:t>
      </w:r>
      <w:r w:rsidR="007F0BE8" w:rsidRPr="00365846">
        <w:rPr>
          <w:szCs w:val="22"/>
        </w:rPr>
        <w:t>.</w:t>
      </w:r>
      <w:r w:rsidR="00D604A3" w:rsidRPr="00365846">
        <w:rPr>
          <w:szCs w:val="22"/>
        </w:rPr>
        <w:t xml:space="preserve"> </w:t>
      </w:r>
      <w:r w:rsidR="008C167E" w:rsidRPr="00365846">
        <w:rPr>
          <w:szCs w:val="22"/>
        </w:rPr>
        <w:t>Izjema je travniška linija priključkov (kosilni</w:t>
      </w:r>
      <w:r w:rsidR="008B198E">
        <w:rPr>
          <w:szCs w:val="22"/>
        </w:rPr>
        <w:t>ca</w:t>
      </w:r>
      <w:r w:rsidR="008C167E" w:rsidRPr="00365846">
        <w:rPr>
          <w:szCs w:val="22"/>
        </w:rPr>
        <w:t xml:space="preserve">, obračalnik, zgrabljalnik, samonakladalna prikolica, puhalnik), kjer </w:t>
      </w:r>
      <w:r w:rsidR="002513CB" w:rsidRPr="00365846">
        <w:rPr>
          <w:szCs w:val="22"/>
        </w:rPr>
        <w:t xml:space="preserve">je </w:t>
      </w:r>
      <w:r w:rsidR="008C167E" w:rsidRPr="00365846">
        <w:rPr>
          <w:szCs w:val="22"/>
        </w:rPr>
        <w:t>v vseh kalkulacijah upošteva</w:t>
      </w:r>
      <w:r w:rsidR="002513CB" w:rsidRPr="00365846">
        <w:rPr>
          <w:szCs w:val="22"/>
        </w:rPr>
        <w:t>na</w:t>
      </w:r>
      <w:r w:rsidR="008C167E" w:rsidRPr="00365846">
        <w:rPr>
          <w:szCs w:val="22"/>
        </w:rPr>
        <w:t xml:space="preserve"> dejansk</w:t>
      </w:r>
      <w:r w:rsidR="002513CB" w:rsidRPr="00365846">
        <w:rPr>
          <w:szCs w:val="22"/>
        </w:rPr>
        <w:t>a</w:t>
      </w:r>
      <w:r w:rsidR="008C167E" w:rsidRPr="00365846">
        <w:rPr>
          <w:szCs w:val="22"/>
        </w:rPr>
        <w:t xml:space="preserve"> izkoriščenost posameznega priključka, ki izhaja iz predpostavljene skupne površine travinja na kmetiji (11,4 ha). </w:t>
      </w:r>
    </w:p>
    <w:p w:rsidR="00D9000F" w:rsidRPr="00365846" w:rsidRDefault="004B6618" w:rsidP="00D9000F">
      <w:pPr>
        <w:pStyle w:val="Telobesedila"/>
        <w:numPr>
          <w:ilvl w:val="0"/>
          <w:numId w:val="4"/>
        </w:numPr>
      </w:pPr>
      <w:r w:rsidRPr="00365846">
        <w:t>Poraba gnojil je opredeljena na podlagi tehnoloških normativov ob predpostavki srednje dobre založenosti tal. Količina gnojil je izražena v obliki čistih hranil. Cena čistih hranil je izračunana po metodi najmanjših kvadratov na podlagi nabavnih cen različnih vrst mineralnih gnojil. Kjer je predvideno gnojenje tudi z organskimi gnojili, je v kalkulacijah  upoštevana mešanica goveje in prašičje gnojevke (razmerje 2:1). Gnojevka se trosi nerazredčena pred osnovno obdelavo tal. Vsebnost izkoristljivih hranil na tono gnojevke je 3,3 kg N – 2,5 kg P</w:t>
      </w:r>
      <w:r w:rsidRPr="00365846">
        <w:rPr>
          <w:vertAlign w:val="subscript"/>
        </w:rPr>
        <w:t>2</w:t>
      </w:r>
      <w:r w:rsidRPr="00365846">
        <w:t>O</w:t>
      </w:r>
      <w:r w:rsidRPr="00365846">
        <w:rPr>
          <w:vertAlign w:val="subscript"/>
        </w:rPr>
        <w:t>5</w:t>
      </w:r>
      <w:r w:rsidRPr="00365846">
        <w:t xml:space="preserve"> – 5,0 kg K</w:t>
      </w:r>
      <w:r w:rsidRPr="00365846">
        <w:rPr>
          <w:vertAlign w:val="subscript"/>
        </w:rPr>
        <w:t>2</w:t>
      </w:r>
      <w:r w:rsidRPr="00365846">
        <w:t xml:space="preserve">O, pri čemer je upoštevana 60-odstotna </w:t>
      </w:r>
      <w:proofErr w:type="spellStart"/>
      <w:r w:rsidRPr="00365846">
        <w:t>izkoristljivost</w:t>
      </w:r>
      <w:proofErr w:type="spellEnd"/>
      <w:r w:rsidRPr="00365846">
        <w:t xml:space="preserve"> dušika. Pri izračunu cene gnojevke je vrednost hranil zmanjšana za povprečne dodatne stroške, ki nastanejo s prevozom in raztrosom gnojevke. </w:t>
      </w:r>
    </w:p>
    <w:p w:rsidR="004B6618" w:rsidRPr="00365846" w:rsidRDefault="004B6618" w:rsidP="00B061BE">
      <w:pPr>
        <w:pStyle w:val="Telobesedila"/>
        <w:numPr>
          <w:ilvl w:val="0"/>
          <w:numId w:val="4"/>
        </w:numPr>
        <w:ind w:left="357" w:hanging="357"/>
        <w:rPr>
          <w:szCs w:val="22"/>
        </w:rPr>
      </w:pPr>
      <w:r w:rsidRPr="00365846">
        <w:t xml:space="preserve">Premijska </w:t>
      </w:r>
      <w:r w:rsidRPr="00365846">
        <w:rPr>
          <w:szCs w:val="22"/>
        </w:rPr>
        <w:t>stopnja</w:t>
      </w:r>
      <w:r w:rsidR="000021FF" w:rsidRPr="00365846">
        <w:rPr>
          <w:szCs w:val="22"/>
        </w:rPr>
        <w:t xml:space="preserve"> </w:t>
      </w:r>
      <w:r w:rsidR="008059C1">
        <w:rPr>
          <w:szCs w:val="22"/>
        </w:rPr>
        <w:t xml:space="preserve">za zavarovanje pridelkov </w:t>
      </w:r>
      <w:r w:rsidR="000021FF" w:rsidRPr="00365846">
        <w:rPr>
          <w:szCs w:val="22"/>
        </w:rPr>
        <w:t xml:space="preserve">je </w:t>
      </w:r>
      <w:r w:rsidRPr="00365846">
        <w:rPr>
          <w:szCs w:val="22"/>
        </w:rPr>
        <w:t>izbrana za nevarnostni razred, v katerega s</w:t>
      </w:r>
      <w:r w:rsidR="003263DD" w:rsidRPr="00365846">
        <w:rPr>
          <w:szCs w:val="22"/>
        </w:rPr>
        <w:t>pada</w:t>
      </w:r>
      <w:r w:rsidRPr="00365846">
        <w:rPr>
          <w:szCs w:val="22"/>
        </w:rPr>
        <w:t xml:space="preserve"> območj</w:t>
      </w:r>
      <w:r w:rsidR="00667BB6" w:rsidRPr="00365846">
        <w:rPr>
          <w:szCs w:val="22"/>
        </w:rPr>
        <w:t>e</w:t>
      </w:r>
      <w:r w:rsidRPr="00365846">
        <w:rPr>
          <w:szCs w:val="22"/>
        </w:rPr>
        <w:t xml:space="preserve">, kjer </w:t>
      </w:r>
      <w:r w:rsidR="000021FF" w:rsidRPr="00365846">
        <w:rPr>
          <w:szCs w:val="22"/>
        </w:rPr>
        <w:t>so</w:t>
      </w:r>
      <w:r w:rsidRPr="00365846">
        <w:rPr>
          <w:szCs w:val="22"/>
        </w:rPr>
        <w:t xml:space="preserve"> </w:t>
      </w:r>
      <w:r w:rsidR="00667BB6" w:rsidRPr="00365846">
        <w:rPr>
          <w:szCs w:val="22"/>
        </w:rPr>
        <w:t xml:space="preserve">posamezne kulture </w:t>
      </w:r>
      <w:r w:rsidRPr="00365846">
        <w:rPr>
          <w:szCs w:val="22"/>
        </w:rPr>
        <w:t>najbolj razširjen</w:t>
      </w:r>
      <w:r w:rsidR="00667BB6" w:rsidRPr="00365846">
        <w:rPr>
          <w:szCs w:val="22"/>
        </w:rPr>
        <w:t>e</w:t>
      </w:r>
      <w:r w:rsidR="000021FF" w:rsidRPr="00365846">
        <w:rPr>
          <w:szCs w:val="22"/>
        </w:rPr>
        <w:t xml:space="preserve">. </w:t>
      </w:r>
      <w:r w:rsidRPr="00365846">
        <w:rPr>
          <w:szCs w:val="22"/>
        </w:rPr>
        <w:t>Zavarovalna vsota je izračunana na podlagi modelno predvidenega pridelka in zavarovalne osnove. Le-t</w:t>
      </w:r>
      <w:r w:rsidR="002513CB" w:rsidRPr="00365846">
        <w:rPr>
          <w:szCs w:val="22"/>
        </w:rPr>
        <w:t>a</w:t>
      </w:r>
      <w:r w:rsidRPr="00365846">
        <w:rPr>
          <w:szCs w:val="22"/>
        </w:rPr>
        <w:t xml:space="preserve"> </w:t>
      </w:r>
      <w:r w:rsidR="002513CB" w:rsidRPr="00365846">
        <w:rPr>
          <w:szCs w:val="22"/>
        </w:rPr>
        <w:t>je</w:t>
      </w:r>
      <w:r w:rsidRPr="00365846">
        <w:rPr>
          <w:szCs w:val="22"/>
        </w:rPr>
        <w:t xml:space="preserve"> izbra</w:t>
      </w:r>
      <w:r w:rsidR="002513CB" w:rsidRPr="00365846">
        <w:rPr>
          <w:szCs w:val="22"/>
        </w:rPr>
        <w:t>na</w:t>
      </w:r>
      <w:r w:rsidRPr="00365846">
        <w:rPr>
          <w:szCs w:val="22"/>
        </w:rPr>
        <w:t xml:space="preserve"> v okviru predloženih cen s strani večjih zavarovalnic in sicer tako, da se čim bolj približa povprečni sezonski odkupni ceni</w:t>
      </w:r>
      <w:r w:rsidR="002513CB" w:rsidRPr="00365846">
        <w:rPr>
          <w:szCs w:val="22"/>
        </w:rPr>
        <w:t>.</w:t>
      </w:r>
      <w:r w:rsidR="00C16B72" w:rsidRPr="00365846">
        <w:rPr>
          <w:rFonts w:cs="Arial"/>
          <w:szCs w:val="22"/>
        </w:rPr>
        <w:t xml:space="preserve"> </w:t>
      </w:r>
    </w:p>
    <w:p w:rsidR="00821A68" w:rsidRPr="00365846" w:rsidRDefault="00821A68" w:rsidP="00B061BE">
      <w:pPr>
        <w:pStyle w:val="Telobesedila"/>
        <w:numPr>
          <w:ilvl w:val="0"/>
          <w:numId w:val="4"/>
        </w:numPr>
        <w:ind w:left="357" w:hanging="357"/>
        <w:rPr>
          <w:szCs w:val="22"/>
        </w:rPr>
      </w:pPr>
      <w:r w:rsidRPr="00365846">
        <w:rPr>
          <w:szCs w:val="22"/>
        </w:rPr>
        <w:t xml:space="preserve">Osnova za amortizacijo vinogradov in sadovnjakov so modelno ocenjeni skupni (polni) </w:t>
      </w:r>
      <w:proofErr w:type="spellStart"/>
      <w:r w:rsidRPr="00365846">
        <w:rPr>
          <w:szCs w:val="22"/>
        </w:rPr>
        <w:t>napravni</w:t>
      </w:r>
      <w:proofErr w:type="spellEnd"/>
      <w:r w:rsidRPr="00365846">
        <w:rPr>
          <w:szCs w:val="22"/>
        </w:rPr>
        <w:t xml:space="preserve"> stroški za posamezen vinograd oziroma sadovnjak. </w:t>
      </w:r>
      <w:r w:rsidR="000E656A" w:rsidRPr="00365846">
        <w:rPr>
          <w:szCs w:val="22"/>
        </w:rPr>
        <w:t>Proračunsk</w:t>
      </w:r>
      <w:r w:rsidR="002513CB" w:rsidRPr="00365846">
        <w:rPr>
          <w:szCs w:val="22"/>
        </w:rPr>
        <w:t>a</w:t>
      </w:r>
      <w:r w:rsidR="000E656A" w:rsidRPr="00365846">
        <w:rPr>
          <w:szCs w:val="22"/>
        </w:rPr>
        <w:t xml:space="preserve"> sredstv</w:t>
      </w:r>
      <w:r w:rsidR="002513CB" w:rsidRPr="00365846">
        <w:rPr>
          <w:szCs w:val="22"/>
        </w:rPr>
        <w:t>a</w:t>
      </w:r>
      <w:r w:rsidR="000E656A" w:rsidRPr="00365846">
        <w:rPr>
          <w:szCs w:val="22"/>
        </w:rPr>
        <w:t>, ki so bil</w:t>
      </w:r>
      <w:r w:rsidR="002513CB" w:rsidRPr="00365846">
        <w:rPr>
          <w:szCs w:val="22"/>
        </w:rPr>
        <w:t>a</w:t>
      </w:r>
      <w:r w:rsidR="000E656A" w:rsidRPr="00365846">
        <w:rPr>
          <w:szCs w:val="22"/>
        </w:rPr>
        <w:t xml:space="preserve"> v nekaterih letih namenjen</w:t>
      </w:r>
      <w:r w:rsidR="002513CB" w:rsidRPr="00365846">
        <w:rPr>
          <w:szCs w:val="22"/>
        </w:rPr>
        <w:t>a</w:t>
      </w:r>
      <w:r w:rsidR="000E656A" w:rsidRPr="00365846">
        <w:rPr>
          <w:szCs w:val="22"/>
        </w:rPr>
        <w:t xml:space="preserve"> subvencioniranju stroškov naprave nasadov, pri oceni </w:t>
      </w:r>
      <w:proofErr w:type="spellStart"/>
      <w:r w:rsidR="000E656A" w:rsidRPr="00365846">
        <w:rPr>
          <w:szCs w:val="22"/>
        </w:rPr>
        <w:t>napravnih</w:t>
      </w:r>
      <w:proofErr w:type="spellEnd"/>
      <w:r w:rsidR="000E656A" w:rsidRPr="00365846">
        <w:rPr>
          <w:szCs w:val="22"/>
        </w:rPr>
        <w:t xml:space="preserve"> stroškov niso upošteva</w:t>
      </w:r>
      <w:r w:rsidR="002513CB" w:rsidRPr="00365846">
        <w:rPr>
          <w:szCs w:val="22"/>
        </w:rPr>
        <w:t>na</w:t>
      </w:r>
      <w:r w:rsidR="009244D3" w:rsidRPr="00365846">
        <w:rPr>
          <w:szCs w:val="22"/>
        </w:rPr>
        <w:t>.</w:t>
      </w:r>
    </w:p>
    <w:p w:rsidR="00345AC5" w:rsidRPr="00365846" w:rsidRDefault="00345AC5" w:rsidP="00B061BE">
      <w:pPr>
        <w:pStyle w:val="Telobesedila"/>
        <w:numPr>
          <w:ilvl w:val="0"/>
          <w:numId w:val="4"/>
        </w:numPr>
        <w:ind w:left="357" w:hanging="357"/>
        <w:rPr>
          <w:szCs w:val="22"/>
        </w:rPr>
      </w:pPr>
      <w:r w:rsidRPr="00365846">
        <w:rPr>
          <w:szCs w:val="22"/>
        </w:rPr>
        <w:t>Proračunske podpore (subvencije) so obračunane po načelih</w:t>
      </w:r>
      <w:r w:rsidR="002513CB" w:rsidRPr="00365846">
        <w:rPr>
          <w:szCs w:val="22"/>
        </w:rPr>
        <w:t>,</w:t>
      </w:r>
      <w:r w:rsidRPr="00365846">
        <w:rPr>
          <w:szCs w:val="22"/>
        </w:rPr>
        <w:t xml:space="preserve"> opisanih v splošnih izhodiščih. Pregled vrst in višin</w:t>
      </w:r>
      <w:r w:rsidR="002513CB" w:rsidRPr="00365846">
        <w:rPr>
          <w:szCs w:val="22"/>
        </w:rPr>
        <w:t>e</w:t>
      </w:r>
      <w:r w:rsidRPr="00365846">
        <w:rPr>
          <w:szCs w:val="22"/>
        </w:rPr>
        <w:t xml:space="preserve"> </w:t>
      </w:r>
      <w:r w:rsidRPr="0081372D">
        <w:rPr>
          <w:szCs w:val="22"/>
        </w:rPr>
        <w:t>proračunskih podpor</w:t>
      </w:r>
      <w:r w:rsidR="00CC0101" w:rsidRPr="0081372D">
        <w:rPr>
          <w:szCs w:val="22"/>
        </w:rPr>
        <w:t xml:space="preserve"> za rastlinske pridelke</w:t>
      </w:r>
      <w:r w:rsidR="002513CB" w:rsidRPr="0081372D">
        <w:rPr>
          <w:szCs w:val="22"/>
        </w:rPr>
        <w:t>,</w:t>
      </w:r>
      <w:r w:rsidRPr="0081372D">
        <w:rPr>
          <w:szCs w:val="22"/>
        </w:rPr>
        <w:t xml:space="preserve"> upoštevanih v kalkulacijah</w:t>
      </w:r>
      <w:r w:rsidR="002513CB" w:rsidRPr="0081372D">
        <w:rPr>
          <w:szCs w:val="22"/>
        </w:rPr>
        <w:t>,</w:t>
      </w:r>
      <w:r w:rsidRPr="0081372D">
        <w:rPr>
          <w:szCs w:val="22"/>
        </w:rPr>
        <w:t xml:space="preserve"> je prika</w:t>
      </w:r>
      <w:r w:rsidRPr="00365846">
        <w:rPr>
          <w:szCs w:val="22"/>
        </w:rPr>
        <w:t xml:space="preserve">zan v </w:t>
      </w:r>
      <w:r w:rsidR="00CC0101">
        <w:rPr>
          <w:szCs w:val="22"/>
        </w:rPr>
        <w:t xml:space="preserve">posebni </w:t>
      </w:r>
      <w:r w:rsidRPr="00365846">
        <w:rPr>
          <w:szCs w:val="22"/>
        </w:rPr>
        <w:t>preglednici.</w:t>
      </w:r>
    </w:p>
    <w:p w:rsidR="009244D3" w:rsidRPr="00365846" w:rsidRDefault="004B6618" w:rsidP="00345AC5">
      <w:pPr>
        <w:pStyle w:val="Telobesedila"/>
        <w:numPr>
          <w:ilvl w:val="0"/>
          <w:numId w:val="4"/>
        </w:numPr>
        <w:rPr>
          <w:szCs w:val="22"/>
        </w:rPr>
      </w:pPr>
      <w:r w:rsidRPr="00365846">
        <w:rPr>
          <w:szCs w:val="22"/>
        </w:rPr>
        <w:t>Specifična tehnološka izhodišča, porabljen</w:t>
      </w:r>
      <w:r w:rsidR="00184496" w:rsidRPr="00365846">
        <w:rPr>
          <w:szCs w:val="22"/>
        </w:rPr>
        <w:t>a</w:t>
      </w:r>
      <w:r w:rsidRPr="00365846">
        <w:rPr>
          <w:szCs w:val="22"/>
        </w:rPr>
        <w:t xml:space="preserve"> količin</w:t>
      </w:r>
      <w:r w:rsidR="00184496" w:rsidRPr="00365846">
        <w:rPr>
          <w:szCs w:val="22"/>
        </w:rPr>
        <w:t>a</w:t>
      </w:r>
      <w:r w:rsidRPr="00365846">
        <w:rPr>
          <w:szCs w:val="22"/>
        </w:rPr>
        <w:t xml:space="preserve"> reprodukcijskega materiala ter strojnega in živega dela, </w:t>
      </w:r>
      <w:r w:rsidR="00332F76" w:rsidRPr="00365846">
        <w:rPr>
          <w:szCs w:val="22"/>
        </w:rPr>
        <w:t>so prikazana</w:t>
      </w:r>
      <w:r w:rsidR="00D9000F" w:rsidRPr="00365846">
        <w:rPr>
          <w:szCs w:val="22"/>
        </w:rPr>
        <w:t xml:space="preserve"> za vsako kulturo</w:t>
      </w:r>
      <w:r w:rsidRPr="00365846">
        <w:rPr>
          <w:szCs w:val="22"/>
        </w:rPr>
        <w:t xml:space="preserve"> posebej </w:t>
      </w:r>
      <w:r w:rsidR="00332F76" w:rsidRPr="00365846">
        <w:rPr>
          <w:szCs w:val="22"/>
        </w:rPr>
        <w:t xml:space="preserve">v posamični </w:t>
      </w:r>
      <w:r w:rsidR="00345AC5" w:rsidRPr="00365846">
        <w:rPr>
          <w:szCs w:val="22"/>
        </w:rPr>
        <w:t xml:space="preserve">analitični </w:t>
      </w:r>
      <w:r w:rsidR="00332F76" w:rsidRPr="00365846">
        <w:rPr>
          <w:szCs w:val="22"/>
        </w:rPr>
        <w:t>kalkulacij</w:t>
      </w:r>
      <w:r w:rsidR="002513CB" w:rsidRPr="00365846">
        <w:rPr>
          <w:szCs w:val="22"/>
        </w:rPr>
        <w:t>i</w:t>
      </w:r>
      <w:r w:rsidR="009244D3" w:rsidRPr="00365846">
        <w:rPr>
          <w:szCs w:val="22"/>
        </w:rPr>
        <w:t>.</w:t>
      </w:r>
    </w:p>
    <w:p w:rsidR="00345AC5" w:rsidRPr="00365846" w:rsidRDefault="00345AC5" w:rsidP="001D78FD">
      <w:pPr>
        <w:pStyle w:val="Telobesedila"/>
        <w:rPr>
          <w:szCs w:val="22"/>
        </w:rPr>
      </w:pPr>
    </w:p>
    <w:p w:rsidR="00E11E94" w:rsidRPr="00365846" w:rsidRDefault="00E11E94" w:rsidP="001D78FD">
      <w:pPr>
        <w:pStyle w:val="Telobesedila"/>
        <w:rPr>
          <w:szCs w:val="22"/>
        </w:rPr>
      </w:pPr>
    </w:p>
    <w:p w:rsidR="00345AC5" w:rsidRPr="00365846" w:rsidRDefault="00345AC5" w:rsidP="001D78FD">
      <w:pPr>
        <w:pStyle w:val="Telobesedila"/>
        <w:rPr>
          <w:szCs w:val="22"/>
        </w:rPr>
      </w:pPr>
    </w:p>
    <w:p w:rsidR="00345AC5" w:rsidRPr="00365846" w:rsidRDefault="00345AC5" w:rsidP="001D78FD">
      <w:pPr>
        <w:pStyle w:val="Telobesedila"/>
        <w:rPr>
          <w:szCs w:val="22"/>
        </w:rPr>
        <w:sectPr w:rsidR="00345AC5" w:rsidRPr="00365846" w:rsidSect="002C7B84">
          <w:footerReference w:type="default" r:id="rId13"/>
          <w:pgSz w:w="11906" w:h="16838"/>
          <w:pgMar w:top="1417" w:right="1417" w:bottom="1417" w:left="1417" w:header="708" w:footer="708" w:gutter="0"/>
          <w:cols w:space="708"/>
          <w:docGrid w:linePitch="360"/>
        </w:sectPr>
      </w:pPr>
    </w:p>
    <w:p w:rsidR="0024124B" w:rsidRPr="002F64C7" w:rsidRDefault="00DD6A94" w:rsidP="002F64C7">
      <w:pPr>
        <w:pStyle w:val="Napis"/>
      </w:pPr>
      <w:r w:rsidRPr="002F64C7">
        <w:lastRenderedPageBreak/>
        <w:t xml:space="preserve">Preglednica </w:t>
      </w:r>
      <w:r w:rsidR="001D561F">
        <w:fldChar w:fldCharType="begin"/>
      </w:r>
      <w:r w:rsidR="001D561F">
        <w:instrText xml:space="preserve"> SEQ Preglednica \* ARABIC </w:instrText>
      </w:r>
      <w:r w:rsidR="001D561F">
        <w:fldChar w:fldCharType="separate"/>
      </w:r>
      <w:r w:rsidR="00795023">
        <w:rPr>
          <w:noProof/>
        </w:rPr>
        <w:t>2</w:t>
      </w:r>
      <w:r w:rsidR="001D561F">
        <w:rPr>
          <w:noProof/>
        </w:rPr>
        <w:fldChar w:fldCharType="end"/>
      </w:r>
      <w:r w:rsidRPr="002F64C7">
        <w:t>: P</w:t>
      </w:r>
      <w:r w:rsidR="0024124B" w:rsidRPr="002F64C7">
        <w:t>regled vrst in višin proračunskih podpor</w:t>
      </w:r>
      <w:r w:rsidR="002513CB" w:rsidRPr="002F64C7">
        <w:t>,</w:t>
      </w:r>
      <w:r w:rsidR="0024124B" w:rsidRPr="002F64C7">
        <w:t xml:space="preserve"> upoštevanih v kalkulacijah </w:t>
      </w:r>
      <w:r w:rsidR="00B15426" w:rsidRPr="002F64C7">
        <w:t xml:space="preserve">za rastlinsko pridelavo </w:t>
      </w:r>
      <w:r w:rsidR="0024124B" w:rsidRPr="002F64C7">
        <w:t xml:space="preserve">v obdobju </w:t>
      </w:r>
      <w:r w:rsidR="0045757A" w:rsidRPr="002F64C7">
        <w:t>2000</w:t>
      </w:r>
      <w:r w:rsidR="0024124B" w:rsidRPr="002F64C7">
        <w:t>-2</w:t>
      </w:r>
      <w:r w:rsidR="002513CB" w:rsidRPr="002F64C7">
        <w:t>0</w:t>
      </w:r>
      <w:r w:rsidR="00426E05" w:rsidRPr="002F64C7">
        <w:t>06</w:t>
      </w:r>
      <w:r w:rsidR="0024124B" w:rsidRPr="002F64C7">
        <w:t xml:space="preserve"> </w:t>
      </w:r>
    </w:p>
    <w:tbl>
      <w:tblPr>
        <w:tblW w:w="13608" w:type="dxa"/>
        <w:tblInd w:w="70" w:type="dxa"/>
        <w:tblLayout w:type="fixed"/>
        <w:tblCellMar>
          <w:left w:w="70" w:type="dxa"/>
          <w:right w:w="70" w:type="dxa"/>
        </w:tblCellMar>
        <w:tblLook w:val="0000" w:firstRow="0" w:lastRow="0" w:firstColumn="0" w:lastColumn="0" w:noHBand="0" w:noVBand="0"/>
      </w:tblPr>
      <w:tblGrid>
        <w:gridCol w:w="3119"/>
        <w:gridCol w:w="1364"/>
        <w:gridCol w:w="1303"/>
        <w:gridCol w:w="1304"/>
        <w:gridCol w:w="1303"/>
        <w:gridCol w:w="1304"/>
        <w:gridCol w:w="1303"/>
        <w:gridCol w:w="1304"/>
        <w:gridCol w:w="1304"/>
      </w:tblGrid>
      <w:tr w:rsidR="002F64C7" w:rsidRPr="009A5DAF" w:rsidTr="003C4DF8">
        <w:trPr>
          <w:trHeight w:val="227"/>
        </w:trPr>
        <w:tc>
          <w:tcPr>
            <w:tcW w:w="3119"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left"/>
              <w:rPr>
                <w:rFonts w:ascii="Verdana" w:hAnsi="Verdana" w:cs="Arial"/>
                <w:b/>
                <w:sz w:val="16"/>
                <w:szCs w:val="16"/>
              </w:rPr>
            </w:pPr>
            <w:r w:rsidRPr="009A5DAF">
              <w:rPr>
                <w:rFonts w:ascii="Verdana" w:hAnsi="Verdana" w:cs="Arial"/>
                <w:b/>
                <w:sz w:val="16"/>
                <w:szCs w:val="16"/>
              </w:rPr>
              <w:t> </w:t>
            </w:r>
          </w:p>
        </w:tc>
        <w:tc>
          <w:tcPr>
            <w:tcW w:w="136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left"/>
              <w:rPr>
                <w:rFonts w:ascii="Verdana" w:hAnsi="Verdana" w:cs="Arial"/>
                <w:b/>
                <w:sz w:val="16"/>
                <w:szCs w:val="16"/>
              </w:rPr>
            </w:pPr>
            <w:r w:rsidRPr="009A5DAF">
              <w:rPr>
                <w:rFonts w:ascii="Verdana" w:hAnsi="Verdana" w:cs="Arial"/>
                <w:b/>
                <w:sz w:val="16"/>
                <w:szCs w:val="16"/>
              </w:rPr>
              <w:t>Enota</w:t>
            </w:r>
          </w:p>
        </w:tc>
        <w:tc>
          <w:tcPr>
            <w:tcW w:w="1303"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2000</w:t>
            </w:r>
          </w:p>
        </w:tc>
        <w:tc>
          <w:tcPr>
            <w:tcW w:w="130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2001</w:t>
            </w:r>
          </w:p>
        </w:tc>
        <w:tc>
          <w:tcPr>
            <w:tcW w:w="1303"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2002</w:t>
            </w:r>
          </w:p>
        </w:tc>
        <w:tc>
          <w:tcPr>
            <w:tcW w:w="130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2003</w:t>
            </w:r>
          </w:p>
        </w:tc>
        <w:tc>
          <w:tcPr>
            <w:tcW w:w="1303"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2004</w:t>
            </w:r>
          </w:p>
        </w:tc>
        <w:tc>
          <w:tcPr>
            <w:tcW w:w="130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2005</w:t>
            </w:r>
          </w:p>
        </w:tc>
        <w:tc>
          <w:tcPr>
            <w:tcW w:w="1304" w:type="dxa"/>
            <w:tcBorders>
              <w:top w:val="single" w:sz="8" w:space="0" w:color="auto"/>
              <w:left w:val="single" w:sz="2" w:space="0" w:color="auto"/>
              <w:bottom w:val="single" w:sz="2" w:space="0" w:color="auto"/>
              <w:right w:val="single" w:sz="2" w:space="0" w:color="auto"/>
            </w:tcBorders>
            <w:shd w:val="clear" w:color="auto" w:fill="auto"/>
            <w:noWrap/>
            <w:vAlign w:val="bottom"/>
          </w:tcPr>
          <w:p w:rsidR="002F64C7" w:rsidRPr="009A5DAF" w:rsidRDefault="002F64C7" w:rsidP="0045757A">
            <w:pPr>
              <w:jc w:val="right"/>
              <w:rPr>
                <w:rFonts w:ascii="Verdana" w:hAnsi="Verdana" w:cs="Arial"/>
                <w:b/>
                <w:sz w:val="16"/>
                <w:szCs w:val="16"/>
              </w:rPr>
            </w:pPr>
            <w:r w:rsidRPr="009A5DAF">
              <w:rPr>
                <w:rFonts w:ascii="Verdana" w:hAnsi="Verdana" w:cs="Arial"/>
                <w:b/>
                <w:sz w:val="16"/>
                <w:szCs w:val="16"/>
              </w:rPr>
              <w:t>2006</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PŠENICA</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Neposredno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263,4</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248,6</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269,6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246,0</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281,6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297,7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314,3</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F8493E">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JEČMEN</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Neposredno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131,7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138,1</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185,7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246,0</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281,6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297,7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314,3</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OLJNA OGRŠČICA</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Neposredno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131,7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324,6</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311,6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246,0</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281,6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297,7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314,3</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Pr>
                <w:rFonts w:ascii="Verdana" w:hAnsi="Verdana" w:cs="Arial"/>
                <w:sz w:val="16"/>
                <w:szCs w:val="16"/>
              </w:rPr>
              <w:t>Pomoč za energetske rastline</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Pr>
                <w:rFonts w:ascii="Verdana" w:hAnsi="Verdana" w:cs="Arial"/>
                <w:sz w:val="16"/>
                <w:szCs w:val="16"/>
              </w:rPr>
              <w:t>25,0</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Pr>
                <w:rFonts w:ascii="Verdana" w:hAnsi="Verdana" w:cs="Arial"/>
                <w:sz w:val="16"/>
                <w:szCs w:val="16"/>
              </w:rPr>
              <w:t>27,0</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Pr>
                <w:rFonts w:ascii="Verdana" w:hAnsi="Verdana" w:cs="Arial"/>
                <w:sz w:val="16"/>
                <w:szCs w:val="16"/>
              </w:rPr>
              <w:t>29,0</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KORUZA</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Neposredno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131,7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138,1</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185,7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246,0</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281,6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297,7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314,3</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SILAŽNA KORUZA</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Neposredno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131,7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138,1</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185,7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246,0</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281,6</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297,7</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2F64C7" w:rsidRPr="00365846" w:rsidRDefault="002F64C7" w:rsidP="0045757A">
            <w:pPr>
              <w:jc w:val="right"/>
              <w:rPr>
                <w:rFonts w:ascii="Verdana" w:hAnsi="Verdana" w:cs="Arial"/>
                <w:sz w:val="16"/>
                <w:szCs w:val="16"/>
              </w:rPr>
            </w:pPr>
            <w:r w:rsidRPr="00365846">
              <w:rPr>
                <w:rFonts w:ascii="Verdana" w:hAnsi="Verdana" w:cs="Arial"/>
                <w:sz w:val="16"/>
                <w:szCs w:val="16"/>
              </w:rPr>
              <w:t>314,3</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KROMPIR</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xml:space="preserve">KRMA S </w:t>
            </w:r>
            <w:r w:rsidR="005B2A33">
              <w:rPr>
                <w:rFonts w:ascii="Verdana" w:hAnsi="Verdana" w:cs="Arial"/>
                <w:sz w:val="16"/>
                <w:szCs w:val="16"/>
              </w:rPr>
              <w:t xml:space="preserve">TRAJNEGA </w:t>
            </w:r>
            <w:r w:rsidRPr="00365846">
              <w:rPr>
                <w:rFonts w:ascii="Verdana" w:hAnsi="Verdana" w:cs="Arial"/>
                <w:sz w:val="16"/>
                <w:szCs w:val="16"/>
              </w:rPr>
              <w:t>TRAVINJA</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Pr>
                <w:rFonts w:ascii="Verdana" w:hAnsi="Verdana" w:cs="Arial"/>
                <w:sz w:val="16"/>
                <w:szCs w:val="16"/>
              </w:rPr>
              <w:t>SADJE</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p>
        </w:tc>
      </w:tr>
      <w:tr w:rsidR="00F8493E"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Regionalno enotno plačilo</w:t>
            </w:r>
          </w:p>
        </w:tc>
        <w:tc>
          <w:tcPr>
            <w:tcW w:w="136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EUR/ha</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2"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r>
      <w:tr w:rsidR="002F64C7" w:rsidRPr="00365846" w:rsidTr="003C4DF8">
        <w:trPr>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VSE KULTURE</w:t>
            </w:r>
          </w:p>
        </w:tc>
        <w:tc>
          <w:tcPr>
            <w:tcW w:w="136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3"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c>
          <w:tcPr>
            <w:tcW w:w="130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2F64C7" w:rsidRPr="00365846" w:rsidRDefault="002F64C7" w:rsidP="0045757A">
            <w:pPr>
              <w:jc w:val="left"/>
              <w:rPr>
                <w:rFonts w:ascii="Verdana" w:hAnsi="Verdana" w:cs="Arial"/>
                <w:sz w:val="16"/>
                <w:szCs w:val="16"/>
              </w:rPr>
            </w:pPr>
            <w:r w:rsidRPr="00365846">
              <w:rPr>
                <w:rFonts w:ascii="Verdana" w:hAnsi="Verdana" w:cs="Arial"/>
                <w:sz w:val="16"/>
                <w:szCs w:val="16"/>
              </w:rPr>
              <w:t> </w:t>
            </w:r>
          </w:p>
        </w:tc>
      </w:tr>
      <w:tr w:rsidR="00F8493E" w:rsidRPr="00246138" w:rsidTr="003C4DF8">
        <w:trPr>
          <w:trHeight w:val="227"/>
        </w:trPr>
        <w:tc>
          <w:tcPr>
            <w:tcW w:w="3119"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Vračilo trošarine</w:t>
            </w:r>
          </w:p>
        </w:tc>
        <w:tc>
          <w:tcPr>
            <w:tcW w:w="136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EUR/l</w:t>
            </w:r>
          </w:p>
        </w:tc>
        <w:tc>
          <w:tcPr>
            <w:tcW w:w="1303"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0,142</w:t>
            </w:r>
          </w:p>
        </w:tc>
        <w:tc>
          <w:tcPr>
            <w:tcW w:w="1303"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0,140</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0,151</w:t>
            </w:r>
          </w:p>
        </w:tc>
        <w:tc>
          <w:tcPr>
            <w:tcW w:w="1303"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0,154</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0,156</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0,154</w:t>
            </w:r>
          </w:p>
        </w:tc>
      </w:tr>
      <w:tr w:rsidR="00F8493E" w:rsidRPr="00246138" w:rsidTr="00006173">
        <w:trPr>
          <w:trHeight w:val="227"/>
        </w:trPr>
        <w:tc>
          <w:tcPr>
            <w:tcW w:w="3119" w:type="dxa"/>
            <w:tcBorders>
              <w:top w:val="single" w:sz="2" w:space="0" w:color="auto"/>
              <w:left w:val="single" w:sz="2" w:space="0" w:color="auto"/>
              <w:bottom w:val="single" w:sz="4" w:space="0" w:color="auto"/>
              <w:right w:val="single" w:sz="2" w:space="0" w:color="auto"/>
            </w:tcBorders>
            <w:shd w:val="clear" w:color="auto" w:fill="auto"/>
            <w:noWrap/>
            <w:vAlign w:val="center"/>
          </w:tcPr>
          <w:p w:rsidR="00F8493E" w:rsidRPr="00365846" w:rsidRDefault="00F8493E" w:rsidP="0045757A">
            <w:pPr>
              <w:jc w:val="left"/>
              <w:rPr>
                <w:rFonts w:ascii="Verdana" w:hAnsi="Verdana" w:cs="Arial"/>
                <w:sz w:val="16"/>
                <w:szCs w:val="16"/>
              </w:rPr>
            </w:pPr>
            <w:r>
              <w:rPr>
                <w:rFonts w:ascii="Verdana" w:hAnsi="Verdana" w:cs="Arial"/>
                <w:sz w:val="16"/>
                <w:szCs w:val="16"/>
              </w:rPr>
              <w:t xml:space="preserve">Regresiranje </w:t>
            </w:r>
            <w:r w:rsidRPr="00365846">
              <w:rPr>
                <w:rFonts w:ascii="Verdana" w:hAnsi="Verdana" w:cs="Arial"/>
                <w:sz w:val="16"/>
                <w:szCs w:val="16"/>
              </w:rPr>
              <w:t>zavarovanja</w:t>
            </w:r>
            <w:r w:rsidR="002145C3">
              <w:rPr>
                <w:rStyle w:val="Sprotnaopomba-sklic"/>
                <w:rFonts w:ascii="Verdana" w:hAnsi="Verdana" w:cs="Arial"/>
                <w:sz w:val="16"/>
                <w:szCs w:val="16"/>
              </w:rPr>
              <w:footnoteReference w:id="1"/>
            </w:r>
          </w:p>
        </w:tc>
        <w:tc>
          <w:tcPr>
            <w:tcW w:w="1364" w:type="dxa"/>
            <w:tcBorders>
              <w:top w:val="single" w:sz="2" w:space="0" w:color="auto"/>
              <w:left w:val="single" w:sz="2" w:space="0" w:color="auto"/>
              <w:bottom w:val="single" w:sz="4" w:space="0" w:color="auto"/>
              <w:right w:val="single" w:sz="2" w:space="0" w:color="auto"/>
            </w:tcBorders>
            <w:shd w:val="clear" w:color="auto" w:fill="auto"/>
            <w:noWrap/>
            <w:vAlign w:val="center"/>
          </w:tcPr>
          <w:p w:rsidR="00F8493E" w:rsidRPr="00365846" w:rsidRDefault="00F8493E" w:rsidP="0045757A">
            <w:pPr>
              <w:jc w:val="left"/>
              <w:rPr>
                <w:rFonts w:ascii="Verdana" w:hAnsi="Verdana" w:cs="Arial"/>
                <w:sz w:val="16"/>
                <w:szCs w:val="16"/>
              </w:rPr>
            </w:pPr>
            <w:r w:rsidRPr="00365846">
              <w:rPr>
                <w:rFonts w:ascii="Verdana" w:hAnsi="Verdana" w:cs="Arial"/>
                <w:sz w:val="16"/>
                <w:szCs w:val="16"/>
              </w:rPr>
              <w:t>premije</w:t>
            </w:r>
          </w:p>
        </w:tc>
        <w:tc>
          <w:tcPr>
            <w:tcW w:w="1303"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3"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bottom"/>
          </w:tcPr>
          <w:p w:rsidR="00F8493E" w:rsidRPr="00365846" w:rsidRDefault="00F8493E" w:rsidP="00006173">
            <w:pPr>
              <w:jc w:val="right"/>
              <w:rPr>
                <w:rFonts w:ascii="Verdana" w:hAnsi="Verdana" w:cs="Arial"/>
                <w:sz w:val="16"/>
                <w:szCs w:val="16"/>
              </w:rPr>
            </w:pPr>
            <w:r>
              <w:rPr>
                <w:rFonts w:ascii="Verdana" w:hAnsi="Verdana" w:cs="Arial"/>
                <w:sz w:val="16"/>
                <w:szCs w:val="16"/>
              </w:rPr>
              <w:t>-</w:t>
            </w:r>
          </w:p>
        </w:tc>
        <w:tc>
          <w:tcPr>
            <w:tcW w:w="1304" w:type="dxa"/>
            <w:tcBorders>
              <w:top w:val="single" w:sz="2" w:space="0" w:color="auto"/>
              <w:left w:val="single" w:sz="2" w:space="0" w:color="auto"/>
              <w:bottom w:val="single" w:sz="4" w:space="0" w:color="auto"/>
              <w:right w:val="single" w:sz="2" w:space="0" w:color="auto"/>
            </w:tcBorders>
            <w:shd w:val="clear" w:color="auto" w:fill="auto"/>
            <w:noWrap/>
            <w:vAlign w:val="center"/>
          </w:tcPr>
          <w:p w:rsidR="00F8493E" w:rsidRPr="00365846" w:rsidRDefault="00F8493E" w:rsidP="0045757A">
            <w:pPr>
              <w:jc w:val="right"/>
              <w:rPr>
                <w:rFonts w:ascii="Verdana" w:hAnsi="Verdana" w:cs="Arial"/>
                <w:sz w:val="16"/>
                <w:szCs w:val="16"/>
              </w:rPr>
            </w:pPr>
            <w:r w:rsidRPr="00365846">
              <w:rPr>
                <w:rFonts w:ascii="Verdana" w:hAnsi="Verdana" w:cs="Arial"/>
                <w:sz w:val="16"/>
                <w:szCs w:val="16"/>
              </w:rPr>
              <w:t>30</w:t>
            </w:r>
            <w:r>
              <w:rPr>
                <w:rFonts w:ascii="Verdana" w:hAnsi="Verdana" w:cs="Arial"/>
                <w:sz w:val="16"/>
                <w:szCs w:val="16"/>
              </w:rPr>
              <w:t>%</w:t>
            </w:r>
          </w:p>
        </w:tc>
      </w:tr>
    </w:tbl>
    <w:p w:rsidR="00D9280F" w:rsidRDefault="00D9280F" w:rsidP="00472B7C">
      <w:pPr>
        <w:pStyle w:val="Telobesedila"/>
        <w:rPr>
          <w:szCs w:val="22"/>
        </w:rPr>
      </w:pPr>
    </w:p>
    <w:p w:rsidR="003B685A" w:rsidRDefault="003B685A" w:rsidP="00472B7C">
      <w:pPr>
        <w:pStyle w:val="Telobesedila"/>
        <w:rPr>
          <w:szCs w:val="22"/>
        </w:rPr>
      </w:pPr>
    </w:p>
    <w:p w:rsidR="00426E05" w:rsidRDefault="00426E05" w:rsidP="00472B7C">
      <w:pPr>
        <w:pStyle w:val="Telobesedila"/>
        <w:rPr>
          <w:szCs w:val="22"/>
        </w:rPr>
      </w:pPr>
    </w:p>
    <w:p w:rsidR="003B685A" w:rsidRDefault="003B685A" w:rsidP="00472B7C">
      <w:pPr>
        <w:pStyle w:val="Telobesedila"/>
        <w:rPr>
          <w:szCs w:val="22"/>
        </w:rPr>
      </w:pPr>
    </w:p>
    <w:p w:rsidR="003C4DF8" w:rsidRDefault="003C4DF8" w:rsidP="00472B7C">
      <w:pPr>
        <w:pStyle w:val="Telobesedila"/>
        <w:rPr>
          <w:szCs w:val="22"/>
        </w:rPr>
      </w:pPr>
    </w:p>
    <w:p w:rsidR="00426E05" w:rsidRDefault="00DD6A94" w:rsidP="002F64C7">
      <w:pPr>
        <w:pStyle w:val="Napis"/>
      </w:pPr>
      <w:r w:rsidRPr="002F64C7">
        <w:lastRenderedPageBreak/>
        <w:t xml:space="preserve">Preglednica </w:t>
      </w:r>
      <w:r w:rsidR="001D561F">
        <w:fldChar w:fldCharType="begin"/>
      </w:r>
      <w:r w:rsidR="001D561F">
        <w:instrText xml:space="preserve"> SEQ Preglednica \* ARABIC </w:instrText>
      </w:r>
      <w:r w:rsidR="001D561F">
        <w:fldChar w:fldCharType="separate"/>
      </w:r>
      <w:r w:rsidR="00795023">
        <w:rPr>
          <w:noProof/>
        </w:rPr>
        <w:t>3</w:t>
      </w:r>
      <w:r w:rsidR="001D561F">
        <w:rPr>
          <w:noProof/>
        </w:rPr>
        <w:fldChar w:fldCharType="end"/>
      </w:r>
      <w:r w:rsidRPr="002F64C7">
        <w:t xml:space="preserve">: </w:t>
      </w:r>
      <w:r w:rsidR="00426E05" w:rsidRPr="002F64C7">
        <w:t>Pregled vrst in višin proračunskih podpor, upoštevanih v kalkulacijah za rastlinsko pridelavo v obdobju 2007-201</w:t>
      </w:r>
      <w:r w:rsidR="00A9036D">
        <w:t>6</w:t>
      </w:r>
      <w:r w:rsidR="00426E05" w:rsidRPr="002F64C7">
        <w:t xml:space="preserve"> </w:t>
      </w:r>
    </w:p>
    <w:tbl>
      <w:tblPr>
        <w:tblW w:w="14034" w:type="dxa"/>
        <w:tblInd w:w="70" w:type="dxa"/>
        <w:tblLayout w:type="fixed"/>
        <w:tblCellMar>
          <w:left w:w="70" w:type="dxa"/>
          <w:right w:w="70" w:type="dxa"/>
        </w:tblCellMar>
        <w:tblLook w:val="0000" w:firstRow="0" w:lastRow="0" w:firstColumn="0" w:lastColumn="0" w:noHBand="0" w:noVBand="0"/>
      </w:tblPr>
      <w:tblGrid>
        <w:gridCol w:w="3119"/>
        <w:gridCol w:w="850"/>
        <w:gridCol w:w="915"/>
        <w:gridCol w:w="915"/>
        <w:gridCol w:w="915"/>
        <w:gridCol w:w="915"/>
        <w:gridCol w:w="915"/>
        <w:gridCol w:w="915"/>
        <w:gridCol w:w="915"/>
        <w:gridCol w:w="915"/>
        <w:gridCol w:w="915"/>
        <w:gridCol w:w="915"/>
        <w:gridCol w:w="915"/>
      </w:tblGrid>
      <w:tr w:rsidR="00CB4B80" w:rsidRPr="00CB4B80" w:rsidTr="00CB4B80">
        <w:trPr>
          <w:cantSplit/>
          <w:trHeight w:val="227"/>
          <w:tblHeader/>
        </w:trPr>
        <w:tc>
          <w:tcPr>
            <w:tcW w:w="3119" w:type="dxa"/>
            <w:tcBorders>
              <w:top w:val="single" w:sz="8" w:space="0" w:color="auto"/>
              <w:left w:val="single" w:sz="2" w:space="0" w:color="auto"/>
              <w:bottom w:val="single" w:sz="2" w:space="0" w:color="auto"/>
              <w:right w:val="single" w:sz="2" w:space="0" w:color="auto"/>
            </w:tcBorders>
            <w:shd w:val="clear" w:color="auto" w:fill="auto"/>
            <w:noWrap/>
            <w:vAlign w:val="bottom"/>
          </w:tcPr>
          <w:p w:rsidR="00CB4B80" w:rsidRPr="00CB4B80" w:rsidRDefault="00CB4B80" w:rsidP="004A01B2">
            <w:pPr>
              <w:jc w:val="left"/>
              <w:rPr>
                <w:rFonts w:ascii="Verdana" w:hAnsi="Verdana" w:cs="Arial"/>
                <w:b/>
                <w:sz w:val="16"/>
                <w:szCs w:val="16"/>
              </w:rPr>
            </w:pPr>
            <w:r w:rsidRPr="00CB4B80">
              <w:rPr>
                <w:rFonts w:ascii="Verdana" w:hAnsi="Verdana" w:cs="Arial"/>
                <w:b/>
                <w:sz w:val="16"/>
                <w:szCs w:val="16"/>
              </w:rPr>
              <w:t> </w:t>
            </w:r>
          </w:p>
        </w:tc>
        <w:tc>
          <w:tcPr>
            <w:tcW w:w="850" w:type="dxa"/>
            <w:tcBorders>
              <w:top w:val="single" w:sz="8" w:space="0" w:color="auto"/>
              <w:left w:val="single" w:sz="2" w:space="0" w:color="auto"/>
              <w:bottom w:val="single" w:sz="2" w:space="0" w:color="auto"/>
              <w:right w:val="single" w:sz="2" w:space="0" w:color="auto"/>
            </w:tcBorders>
            <w:shd w:val="clear" w:color="auto" w:fill="auto"/>
            <w:noWrap/>
            <w:vAlign w:val="bottom"/>
          </w:tcPr>
          <w:p w:rsidR="00CB4B80" w:rsidRPr="00CB4B80" w:rsidRDefault="00CB4B80" w:rsidP="004A01B2">
            <w:pPr>
              <w:jc w:val="left"/>
              <w:rPr>
                <w:rFonts w:ascii="Verdana" w:hAnsi="Verdana" w:cs="Arial"/>
                <w:b/>
                <w:sz w:val="16"/>
                <w:szCs w:val="16"/>
              </w:rPr>
            </w:pPr>
            <w:r w:rsidRPr="00CB4B80">
              <w:rPr>
                <w:rFonts w:ascii="Verdana" w:hAnsi="Verdana" w:cs="Arial"/>
                <w:b/>
                <w:sz w:val="16"/>
                <w:szCs w:val="16"/>
              </w:rPr>
              <w:t>Enota</w:t>
            </w:r>
          </w:p>
        </w:tc>
        <w:tc>
          <w:tcPr>
            <w:tcW w:w="915" w:type="dxa"/>
            <w:tcBorders>
              <w:top w:val="single" w:sz="8" w:space="0" w:color="auto"/>
              <w:left w:val="single" w:sz="2" w:space="0" w:color="auto"/>
              <w:bottom w:val="single" w:sz="2" w:space="0" w:color="auto"/>
              <w:right w:val="single" w:sz="2" w:space="0" w:color="auto"/>
            </w:tcBorders>
            <w:shd w:val="clear" w:color="auto" w:fill="auto"/>
            <w:noWrap/>
            <w:vAlign w:val="bottom"/>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2007</w:t>
            </w:r>
          </w:p>
        </w:tc>
        <w:tc>
          <w:tcPr>
            <w:tcW w:w="915" w:type="dxa"/>
            <w:tcBorders>
              <w:top w:val="single" w:sz="8" w:space="0" w:color="auto"/>
              <w:left w:val="single" w:sz="2" w:space="0" w:color="auto"/>
              <w:bottom w:val="single" w:sz="2" w:space="0" w:color="auto"/>
              <w:right w:val="single" w:sz="2" w:space="0" w:color="auto"/>
            </w:tcBorders>
            <w:shd w:val="clear" w:color="auto" w:fill="auto"/>
            <w:vAlign w:val="bottom"/>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2008</w:t>
            </w:r>
          </w:p>
        </w:tc>
        <w:tc>
          <w:tcPr>
            <w:tcW w:w="915" w:type="dxa"/>
            <w:tcBorders>
              <w:top w:val="single" w:sz="8" w:space="0" w:color="auto"/>
              <w:left w:val="single" w:sz="2" w:space="0" w:color="auto"/>
              <w:bottom w:val="single" w:sz="2" w:space="0" w:color="auto"/>
              <w:right w:val="single" w:sz="2" w:space="0" w:color="auto"/>
            </w:tcBorders>
            <w:shd w:val="clear" w:color="auto" w:fill="auto"/>
            <w:vAlign w:val="bottom"/>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2009</w:t>
            </w:r>
          </w:p>
        </w:tc>
        <w:tc>
          <w:tcPr>
            <w:tcW w:w="915" w:type="dxa"/>
            <w:tcBorders>
              <w:top w:val="single" w:sz="8" w:space="0" w:color="auto"/>
              <w:left w:val="single" w:sz="2" w:space="0" w:color="auto"/>
              <w:bottom w:val="single" w:sz="2" w:space="0" w:color="auto"/>
              <w:right w:val="single" w:sz="2" w:space="0" w:color="auto"/>
            </w:tcBorders>
            <w:shd w:val="clear" w:color="auto" w:fill="auto"/>
            <w:vAlign w:val="bottom"/>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2010</w:t>
            </w:r>
          </w:p>
        </w:tc>
        <w:tc>
          <w:tcPr>
            <w:tcW w:w="915" w:type="dxa"/>
            <w:tcBorders>
              <w:top w:val="single" w:sz="8" w:space="0" w:color="auto"/>
              <w:left w:val="single" w:sz="2" w:space="0" w:color="auto"/>
              <w:bottom w:val="single" w:sz="2" w:space="0" w:color="auto"/>
              <w:right w:val="single" w:sz="2" w:space="0" w:color="auto"/>
            </w:tcBorders>
            <w:shd w:val="clear" w:color="auto" w:fill="auto"/>
            <w:vAlign w:val="bottom"/>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2011</w:t>
            </w:r>
          </w:p>
        </w:tc>
        <w:tc>
          <w:tcPr>
            <w:tcW w:w="915" w:type="dxa"/>
            <w:tcBorders>
              <w:top w:val="single" w:sz="8" w:space="0" w:color="auto"/>
              <w:left w:val="single" w:sz="2" w:space="0" w:color="auto"/>
              <w:bottom w:val="single" w:sz="2" w:space="0" w:color="auto"/>
              <w:right w:val="single" w:sz="2" w:space="0" w:color="auto"/>
            </w:tcBorders>
            <w:shd w:val="clear" w:color="auto" w:fill="auto"/>
            <w:vAlign w:val="bottom"/>
          </w:tcPr>
          <w:p w:rsidR="00CB4B80" w:rsidRPr="00CB4B80" w:rsidRDefault="00CB4B80" w:rsidP="00426E05">
            <w:pPr>
              <w:jc w:val="right"/>
              <w:rPr>
                <w:rFonts w:ascii="Verdana" w:hAnsi="Verdana" w:cs="Arial"/>
                <w:b/>
                <w:sz w:val="16"/>
                <w:szCs w:val="16"/>
              </w:rPr>
            </w:pPr>
            <w:r w:rsidRPr="00CB4B80">
              <w:rPr>
                <w:rFonts w:ascii="Verdana" w:hAnsi="Verdana" w:cs="Arial"/>
                <w:b/>
                <w:sz w:val="16"/>
                <w:szCs w:val="16"/>
              </w:rPr>
              <w:t>2012</w:t>
            </w:r>
          </w:p>
        </w:tc>
        <w:tc>
          <w:tcPr>
            <w:tcW w:w="915" w:type="dxa"/>
            <w:tcBorders>
              <w:top w:val="single" w:sz="8" w:space="0" w:color="auto"/>
              <w:left w:val="single" w:sz="2" w:space="0" w:color="auto"/>
              <w:bottom w:val="single" w:sz="2" w:space="0" w:color="auto"/>
              <w:right w:val="single" w:sz="2" w:space="0" w:color="auto"/>
            </w:tcBorders>
            <w:shd w:val="clear" w:color="auto" w:fill="auto"/>
            <w:vAlign w:val="center"/>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2013</w:t>
            </w:r>
          </w:p>
        </w:tc>
        <w:tc>
          <w:tcPr>
            <w:tcW w:w="915" w:type="dxa"/>
            <w:tcBorders>
              <w:top w:val="single" w:sz="8" w:space="0" w:color="auto"/>
              <w:left w:val="single" w:sz="2" w:space="0" w:color="auto"/>
              <w:bottom w:val="single" w:sz="2" w:space="0" w:color="auto"/>
              <w:right w:val="single" w:sz="2" w:space="0" w:color="auto"/>
            </w:tcBorders>
            <w:shd w:val="clear" w:color="auto" w:fill="auto"/>
            <w:vAlign w:val="center"/>
          </w:tcPr>
          <w:p w:rsidR="00CB4B80" w:rsidRPr="00CB4B80" w:rsidRDefault="00CB4B80" w:rsidP="004A01B2">
            <w:pPr>
              <w:jc w:val="right"/>
              <w:rPr>
                <w:rFonts w:ascii="Verdana" w:hAnsi="Verdana" w:cs="Arial"/>
                <w:b/>
                <w:sz w:val="16"/>
                <w:szCs w:val="16"/>
              </w:rPr>
            </w:pPr>
            <w:r w:rsidRPr="00CB4B80">
              <w:rPr>
                <w:rFonts w:ascii="Verdana" w:hAnsi="Verdana" w:cs="Arial"/>
                <w:b/>
                <w:sz w:val="16"/>
                <w:szCs w:val="16"/>
              </w:rPr>
              <w:t>2014</w:t>
            </w:r>
          </w:p>
        </w:tc>
        <w:tc>
          <w:tcPr>
            <w:tcW w:w="915" w:type="dxa"/>
            <w:tcBorders>
              <w:top w:val="single" w:sz="8" w:space="0" w:color="auto"/>
              <w:left w:val="single" w:sz="2" w:space="0" w:color="auto"/>
              <w:bottom w:val="single" w:sz="2" w:space="0" w:color="auto"/>
              <w:right w:val="single" w:sz="2" w:space="0" w:color="auto"/>
            </w:tcBorders>
            <w:shd w:val="clear" w:color="auto" w:fill="auto"/>
            <w:vAlign w:val="center"/>
          </w:tcPr>
          <w:p w:rsidR="00CB4B80" w:rsidRPr="00CB4B80" w:rsidRDefault="00CB4B80" w:rsidP="00270845">
            <w:pPr>
              <w:jc w:val="right"/>
              <w:rPr>
                <w:rFonts w:ascii="Verdana" w:hAnsi="Verdana" w:cs="Arial"/>
                <w:b/>
                <w:sz w:val="16"/>
                <w:szCs w:val="16"/>
              </w:rPr>
            </w:pPr>
            <w:r w:rsidRPr="00CB4B80">
              <w:rPr>
                <w:rFonts w:ascii="Verdana" w:hAnsi="Verdana" w:cs="Arial"/>
                <w:b/>
                <w:sz w:val="16"/>
                <w:szCs w:val="16"/>
              </w:rPr>
              <w:t>2015</w:t>
            </w:r>
            <w:r w:rsidRPr="00CB4B80">
              <w:rPr>
                <w:rStyle w:val="Sprotnaopomba-sklic"/>
                <w:rFonts w:ascii="Verdana" w:hAnsi="Verdana" w:cs="Arial"/>
                <w:b/>
                <w:sz w:val="16"/>
                <w:szCs w:val="16"/>
              </w:rPr>
              <w:footnoteReference w:id="2"/>
            </w:r>
          </w:p>
        </w:tc>
        <w:tc>
          <w:tcPr>
            <w:tcW w:w="915" w:type="dxa"/>
            <w:tcBorders>
              <w:top w:val="single" w:sz="8" w:space="0" w:color="auto"/>
              <w:left w:val="single" w:sz="2" w:space="0" w:color="auto"/>
              <w:bottom w:val="single" w:sz="2" w:space="0" w:color="auto"/>
              <w:right w:val="single" w:sz="2" w:space="0" w:color="auto"/>
            </w:tcBorders>
            <w:shd w:val="clear" w:color="auto" w:fill="auto"/>
          </w:tcPr>
          <w:p w:rsidR="00CB4B80" w:rsidRPr="00CB4B80" w:rsidRDefault="00CB4B80" w:rsidP="004F0B0D">
            <w:pPr>
              <w:jc w:val="right"/>
              <w:rPr>
                <w:rFonts w:ascii="Verdana" w:hAnsi="Verdana" w:cs="Arial"/>
                <w:b/>
                <w:sz w:val="16"/>
                <w:szCs w:val="16"/>
              </w:rPr>
            </w:pPr>
            <w:r w:rsidRPr="00CB4B80">
              <w:rPr>
                <w:rFonts w:ascii="Verdana" w:hAnsi="Verdana" w:cs="Arial"/>
                <w:b/>
                <w:sz w:val="16"/>
                <w:szCs w:val="16"/>
              </w:rPr>
              <w:t>2016</w:t>
            </w:r>
            <w:r w:rsidRPr="00CB4B80">
              <w:rPr>
                <w:rFonts w:ascii="Verdana" w:hAnsi="Verdana" w:cs="Arial"/>
                <w:b/>
                <w:sz w:val="16"/>
                <w:szCs w:val="16"/>
                <w:vertAlign w:val="superscript"/>
              </w:rPr>
              <w:t>2</w:t>
            </w:r>
          </w:p>
        </w:tc>
        <w:tc>
          <w:tcPr>
            <w:tcW w:w="915" w:type="dxa"/>
            <w:tcBorders>
              <w:top w:val="single" w:sz="8" w:space="0" w:color="auto"/>
              <w:left w:val="single" w:sz="2" w:space="0" w:color="auto"/>
              <w:bottom w:val="single" w:sz="2" w:space="0" w:color="auto"/>
              <w:right w:val="single" w:sz="2" w:space="0" w:color="auto"/>
            </w:tcBorders>
            <w:shd w:val="clear" w:color="auto" w:fill="auto"/>
          </w:tcPr>
          <w:p w:rsidR="00CB4B80" w:rsidRPr="008E4EF8" w:rsidRDefault="00CB4B80" w:rsidP="004F0B0D">
            <w:pPr>
              <w:jc w:val="right"/>
              <w:rPr>
                <w:rFonts w:ascii="Verdana" w:hAnsi="Verdana" w:cs="Arial"/>
                <w:b/>
                <w:sz w:val="16"/>
                <w:szCs w:val="16"/>
              </w:rPr>
            </w:pPr>
            <w:r w:rsidRPr="00CB4B80">
              <w:rPr>
                <w:rFonts w:ascii="Verdana" w:hAnsi="Verdana" w:cs="Arial"/>
                <w:b/>
                <w:sz w:val="16"/>
                <w:szCs w:val="16"/>
              </w:rPr>
              <w:t>2017</w:t>
            </w:r>
            <w:r w:rsidRPr="00CB4B80">
              <w:rPr>
                <w:rFonts w:ascii="Verdana" w:hAnsi="Verdana" w:cs="Arial"/>
                <w:b/>
                <w:sz w:val="16"/>
                <w:szCs w:val="16"/>
                <w:vertAlign w:val="superscript"/>
              </w:rPr>
              <w:t>2</w:t>
            </w:r>
            <w:r w:rsidR="008E4EF8">
              <w:rPr>
                <w:rFonts w:ascii="Verdana" w:hAnsi="Verdana" w:cs="Arial"/>
                <w:b/>
                <w:sz w:val="16"/>
                <w:szCs w:val="16"/>
              </w:rPr>
              <w:t>*</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PŠENICA, JEČMEN</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r>
      <w:tr w:rsidR="00404E2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4A01B2">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footnoteReference w:id="3"/>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174,91</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172,59</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169,62</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8D6320">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1C6C23">
            <w:pPr>
              <w:jc w:val="right"/>
              <w:rPr>
                <w:rFonts w:ascii="Verdana" w:hAnsi="Verdana" w:cs="Arial"/>
                <w:bCs/>
                <w:sz w:val="16"/>
                <w:szCs w:val="16"/>
              </w:rPr>
            </w:pPr>
            <w:r w:rsidRPr="00B55054">
              <w:rPr>
                <w:rFonts w:ascii="Verdana" w:hAnsi="Verdana" w:cs="Arial"/>
                <w:bCs/>
                <w:sz w:val="16"/>
                <w:szCs w:val="16"/>
              </w:rPr>
              <w:t>98,57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49184B" w:rsidP="00B55054">
            <w:pPr>
              <w:jc w:val="right"/>
              <w:rPr>
                <w:rFonts w:ascii="Verdana" w:hAnsi="Verdana"/>
                <w:color w:val="000000"/>
                <w:sz w:val="16"/>
                <w:szCs w:val="16"/>
              </w:rPr>
            </w:pPr>
            <w:r>
              <w:rPr>
                <w:rFonts w:ascii="Verdana" w:hAnsi="Verdana"/>
                <w:color w:val="000000"/>
                <w:sz w:val="16"/>
                <w:szCs w:val="16"/>
              </w:rPr>
              <w:t>97,95</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49184B">
            <w:pPr>
              <w:jc w:val="right"/>
              <w:rPr>
                <w:rFonts w:ascii="Verdana" w:hAnsi="Verdana"/>
                <w:color w:val="000000"/>
                <w:sz w:val="16"/>
                <w:szCs w:val="16"/>
              </w:rPr>
            </w:pPr>
            <w:r>
              <w:rPr>
                <w:rFonts w:ascii="Verdana" w:hAnsi="Verdana"/>
                <w:color w:val="000000"/>
                <w:sz w:val="16"/>
                <w:szCs w:val="16"/>
              </w:rPr>
              <w:t>96,27</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Proizvodno vezano plačilo strna žita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1C6C23">
            <w:pPr>
              <w:jc w:val="right"/>
              <w:rPr>
                <w:rFonts w:ascii="Verdana" w:hAnsi="Verdana" w:cs="Arial"/>
                <w:sz w:val="16"/>
                <w:szCs w:val="16"/>
              </w:rPr>
            </w:pPr>
            <w:r w:rsidRPr="00B55054">
              <w:rPr>
                <w:rFonts w:ascii="Verdana" w:hAnsi="Verdana" w:cs="Arial"/>
                <w:sz w:val="16"/>
                <w:szCs w:val="16"/>
              </w:rPr>
              <w:t>122,53</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3E2357">
            <w:pPr>
              <w:jc w:val="right"/>
              <w:rPr>
                <w:rFonts w:ascii="Verdana" w:hAnsi="Verdana" w:cs="Arial"/>
                <w:sz w:val="16"/>
                <w:szCs w:val="16"/>
              </w:rPr>
            </w:pPr>
            <w:r w:rsidRPr="00B55054">
              <w:rPr>
                <w:rFonts w:ascii="Verdana" w:hAnsi="Verdana" w:cs="Arial"/>
                <w:sz w:val="16"/>
                <w:szCs w:val="16"/>
              </w:rPr>
              <w:t>122,06</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8E4EF8" w:rsidP="001D561F">
            <w:pPr>
              <w:jc w:val="right"/>
              <w:rPr>
                <w:rFonts w:ascii="Verdana" w:hAnsi="Verdana" w:cs="Arial"/>
                <w:sz w:val="16"/>
                <w:szCs w:val="16"/>
              </w:rPr>
            </w:pPr>
            <w:r w:rsidRPr="00B55054">
              <w:rPr>
                <w:rFonts w:ascii="Verdana" w:hAnsi="Verdana" w:cs="Arial"/>
                <w:sz w:val="16"/>
                <w:szCs w:val="16"/>
              </w:rPr>
              <w:t>12</w:t>
            </w:r>
            <w:r w:rsidR="001D561F">
              <w:rPr>
                <w:rFonts w:ascii="Verdana" w:hAnsi="Verdana" w:cs="Arial"/>
                <w:sz w:val="16"/>
                <w:szCs w:val="16"/>
              </w:rPr>
              <w:t>6</w:t>
            </w:r>
            <w:r w:rsidRPr="00B55054">
              <w:rPr>
                <w:rFonts w:ascii="Verdana" w:hAnsi="Verdana" w:cs="Arial"/>
                <w:sz w:val="16"/>
                <w:szCs w:val="16"/>
              </w:rPr>
              <w:t>,</w:t>
            </w:r>
            <w:r w:rsidR="001D561F">
              <w:rPr>
                <w:rFonts w:ascii="Verdana" w:hAnsi="Verdana" w:cs="Arial"/>
                <w:sz w:val="16"/>
                <w:szCs w:val="16"/>
              </w:rPr>
              <w:t>39</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OLJNA OGRŠČICA</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993D74">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Pomoč za energetske rastline</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31,7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45,0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45,0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993D74">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r>
      <w:tr w:rsidR="00404E2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7031B">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t>3</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174,91</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172,59</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169,62</w:t>
            </w:r>
          </w:p>
        </w:tc>
      </w:tr>
      <w:tr w:rsidR="0049184B"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7031B">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C4F85">
            <w:pPr>
              <w:jc w:val="right"/>
              <w:rPr>
                <w:rFonts w:ascii="Verdana" w:hAnsi="Verdana" w:cs="Arial"/>
                <w:bCs/>
                <w:sz w:val="16"/>
                <w:szCs w:val="16"/>
              </w:rPr>
            </w:pPr>
            <w:r w:rsidRPr="00B55054">
              <w:rPr>
                <w:rFonts w:ascii="Verdana" w:hAnsi="Verdana" w:cs="Arial"/>
                <w:bCs/>
                <w:sz w:val="16"/>
                <w:szCs w:val="16"/>
              </w:rPr>
              <w:t>98,57</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97,95</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96,27</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KORUZA</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Pr>
                <w:rFonts w:ascii="Verdana" w:hAnsi="Verdana" w:cs="Arial"/>
                <w:color w:val="548DD4" w:themeColor="text2" w:themeTint="99"/>
                <w:sz w:val="16"/>
                <w:szCs w:val="16"/>
              </w:rPr>
              <w:t>-</w:t>
            </w:r>
          </w:p>
        </w:tc>
      </w:tr>
      <w:tr w:rsidR="00404E2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C4F85">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t>3</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174,91</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172,59</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169,62</w:t>
            </w:r>
          </w:p>
        </w:tc>
      </w:tr>
      <w:tr w:rsidR="0049184B"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C4F85">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C4F85">
            <w:pPr>
              <w:jc w:val="right"/>
              <w:rPr>
                <w:rFonts w:ascii="Verdana" w:hAnsi="Verdana" w:cs="Arial"/>
                <w:bCs/>
                <w:sz w:val="16"/>
                <w:szCs w:val="16"/>
              </w:rPr>
            </w:pPr>
            <w:r w:rsidRPr="00B55054">
              <w:rPr>
                <w:rFonts w:ascii="Verdana" w:hAnsi="Verdana" w:cs="Arial"/>
                <w:bCs/>
                <w:sz w:val="16"/>
                <w:szCs w:val="16"/>
              </w:rPr>
              <w:t>98,57</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97,95</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96,27</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AJDA</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F81EB6">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Regionalno enotno plačilo</w:t>
            </w:r>
            <w:r w:rsidRPr="00B55054">
              <w:rPr>
                <w:rStyle w:val="Sprotnaopomba-sklic"/>
                <w:rFonts w:ascii="Verdana" w:hAnsi="Verdana" w:cs="Arial"/>
                <w:sz w:val="16"/>
                <w:szCs w:val="16"/>
              </w:rPr>
              <w:footnoteReference w:id="4"/>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CB4B80" w:rsidP="00F81EB6">
            <w:pPr>
              <w:jc w:val="right"/>
              <w:rPr>
                <w:rFonts w:ascii="Verdana" w:hAnsi="Verdana" w:cs="Arial"/>
                <w:sz w:val="16"/>
                <w:szCs w:val="16"/>
              </w:rPr>
            </w:pPr>
            <w:r w:rsidRPr="00B55054">
              <w:rPr>
                <w:rFonts w:ascii="Verdana" w:hAnsi="Verdana" w:cs="Arial"/>
                <w:sz w:val="16"/>
                <w:szCs w:val="16"/>
              </w:rPr>
              <w:t>265,6/</w:t>
            </w:r>
          </w:p>
          <w:p w:rsidR="00CB4B80" w:rsidRPr="00B55054" w:rsidRDefault="00CB4B80" w:rsidP="00F81EB6">
            <w:pPr>
              <w:jc w:val="right"/>
              <w:rPr>
                <w:rFonts w:ascii="Verdana" w:hAnsi="Verdana" w:cs="Arial"/>
                <w:sz w:val="16"/>
                <w:szCs w:val="16"/>
              </w:rPr>
            </w:pPr>
            <w:r w:rsidRPr="00B55054">
              <w:rPr>
                <w:rFonts w:ascii="Verdana" w:hAnsi="Verdana" w:cs="Arial"/>
                <w:sz w:val="16"/>
                <w:szCs w:val="16"/>
              </w:rPr>
              <w:t>99,6</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CB4B80" w:rsidP="00F81EB6">
            <w:pPr>
              <w:jc w:val="right"/>
              <w:rPr>
                <w:rFonts w:ascii="Verdana" w:hAnsi="Verdana" w:cs="Arial"/>
                <w:sz w:val="16"/>
                <w:szCs w:val="16"/>
              </w:rPr>
            </w:pPr>
            <w:r w:rsidRPr="00B55054">
              <w:rPr>
                <w:rFonts w:ascii="Verdana" w:hAnsi="Verdana" w:cs="Arial"/>
                <w:sz w:val="16"/>
                <w:szCs w:val="16"/>
              </w:rPr>
              <w:t>265,6/</w:t>
            </w:r>
          </w:p>
          <w:p w:rsidR="00CB4B80" w:rsidRPr="00B55054" w:rsidRDefault="00CB4B80" w:rsidP="00F81EB6">
            <w:pPr>
              <w:jc w:val="right"/>
              <w:rPr>
                <w:rFonts w:ascii="Verdana" w:hAnsi="Verdana" w:cs="Arial"/>
                <w:sz w:val="16"/>
                <w:szCs w:val="16"/>
              </w:rPr>
            </w:pPr>
            <w:r w:rsidRPr="00B55054">
              <w:rPr>
                <w:rFonts w:ascii="Verdana" w:hAnsi="Verdana" w:cs="Arial"/>
                <w:sz w:val="16"/>
                <w:szCs w:val="16"/>
              </w:rPr>
              <w:t>99,6</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color w:val="548DD4" w:themeColor="text2" w:themeTint="99"/>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2145C3">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footnoteReference w:id="5"/>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404E20" w:rsidRDefault="00404E20" w:rsidP="00404E20">
            <w:pPr>
              <w:jc w:val="right"/>
              <w:rPr>
                <w:rFonts w:ascii="Verdana" w:hAnsi="Verdana"/>
                <w:color w:val="000000"/>
                <w:sz w:val="16"/>
                <w:szCs w:val="16"/>
              </w:rPr>
            </w:pPr>
            <w:r>
              <w:rPr>
                <w:rFonts w:ascii="Verdana" w:hAnsi="Verdana"/>
                <w:color w:val="000000"/>
                <w:sz w:val="16"/>
                <w:szCs w:val="16"/>
              </w:rPr>
              <w:t>139,93</w:t>
            </w:r>
            <w:r w:rsidR="00CB4B80" w:rsidRPr="00B55054">
              <w:rPr>
                <w:rFonts w:ascii="Verdana" w:hAnsi="Verdana" w:cs="Arial"/>
                <w:sz w:val="16"/>
                <w:szCs w:val="16"/>
              </w:rPr>
              <w:t>/</w:t>
            </w:r>
          </w:p>
          <w:p w:rsidR="00CB4B80" w:rsidRPr="00B55054" w:rsidRDefault="00404E20" w:rsidP="00D43E81">
            <w:pPr>
              <w:jc w:val="right"/>
              <w:rPr>
                <w:rFonts w:ascii="Verdana" w:hAnsi="Verdana" w:cs="Arial"/>
                <w:sz w:val="16"/>
                <w:szCs w:val="16"/>
              </w:rPr>
            </w:pPr>
            <w:r>
              <w:rPr>
                <w:rFonts w:ascii="Verdana" w:hAnsi="Verdana" w:cs="Arial"/>
                <w:sz w:val="16"/>
                <w:szCs w:val="16"/>
              </w:rPr>
              <w:t>52,47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CB4B80" w:rsidP="00B55054">
            <w:pPr>
              <w:jc w:val="right"/>
              <w:rPr>
                <w:rFonts w:ascii="Verdana" w:hAnsi="Verdana" w:cs="Arial"/>
                <w:sz w:val="16"/>
                <w:szCs w:val="16"/>
              </w:rPr>
            </w:pPr>
            <w:r w:rsidRPr="00B55054">
              <w:rPr>
                <w:rFonts w:ascii="Verdana" w:hAnsi="Verdana" w:cs="Arial"/>
                <w:sz w:val="16"/>
                <w:szCs w:val="16"/>
              </w:rPr>
              <w:t>138,07/</w:t>
            </w:r>
          </w:p>
          <w:p w:rsidR="00CB4B80" w:rsidRPr="00B55054" w:rsidRDefault="00CB4B80" w:rsidP="00B55054">
            <w:pPr>
              <w:jc w:val="right"/>
              <w:rPr>
                <w:rFonts w:ascii="Verdana" w:hAnsi="Verdana" w:cs="Arial"/>
                <w:sz w:val="16"/>
                <w:szCs w:val="16"/>
              </w:rPr>
            </w:pPr>
            <w:r w:rsidRPr="00B55054">
              <w:rPr>
                <w:rFonts w:ascii="Verdana" w:hAnsi="Verdana" w:cs="Arial"/>
                <w:sz w:val="16"/>
                <w:szCs w:val="16"/>
              </w:rPr>
              <w:t>51,78</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CB4B80" w:rsidP="00993D74">
            <w:pPr>
              <w:jc w:val="right"/>
              <w:rPr>
                <w:rFonts w:ascii="Verdana" w:hAnsi="Verdana" w:cs="Arial"/>
                <w:sz w:val="16"/>
                <w:szCs w:val="16"/>
              </w:rPr>
            </w:pPr>
            <w:r w:rsidRPr="00B55054">
              <w:rPr>
                <w:rFonts w:ascii="Verdana" w:hAnsi="Verdana" w:cs="Arial"/>
                <w:sz w:val="16"/>
                <w:szCs w:val="16"/>
              </w:rPr>
              <w:t>13</w:t>
            </w:r>
            <w:r>
              <w:rPr>
                <w:rFonts w:ascii="Verdana" w:hAnsi="Verdana" w:cs="Arial"/>
                <w:sz w:val="16"/>
                <w:szCs w:val="16"/>
              </w:rPr>
              <w:t>5</w:t>
            </w:r>
            <w:r w:rsidRPr="00B55054">
              <w:rPr>
                <w:rFonts w:ascii="Verdana" w:hAnsi="Verdana" w:cs="Arial"/>
                <w:sz w:val="16"/>
                <w:szCs w:val="16"/>
              </w:rPr>
              <w:t>,</w:t>
            </w:r>
            <w:r>
              <w:rPr>
                <w:rFonts w:ascii="Verdana" w:hAnsi="Verdana" w:cs="Arial"/>
                <w:sz w:val="16"/>
                <w:szCs w:val="16"/>
              </w:rPr>
              <w:t>70</w:t>
            </w:r>
            <w:r w:rsidRPr="00B55054">
              <w:rPr>
                <w:rFonts w:ascii="Verdana" w:hAnsi="Verdana" w:cs="Arial"/>
                <w:sz w:val="16"/>
                <w:szCs w:val="16"/>
              </w:rPr>
              <w:t>/</w:t>
            </w:r>
          </w:p>
          <w:p w:rsidR="00CB4B80" w:rsidRPr="00B55054" w:rsidRDefault="00CB4B80" w:rsidP="00993D74">
            <w:pPr>
              <w:jc w:val="right"/>
              <w:rPr>
                <w:rFonts w:ascii="Verdana" w:hAnsi="Verdana" w:cs="Arial"/>
                <w:sz w:val="16"/>
                <w:szCs w:val="16"/>
              </w:rPr>
            </w:pPr>
            <w:r>
              <w:rPr>
                <w:rFonts w:ascii="Verdana" w:hAnsi="Verdana" w:cs="Arial"/>
                <w:sz w:val="16"/>
                <w:szCs w:val="16"/>
              </w:rPr>
              <w:t>50,89</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7031B">
            <w:pPr>
              <w:jc w:val="left"/>
              <w:rPr>
                <w:rFonts w:ascii="Verdana" w:hAnsi="Verdana" w:cs="Arial"/>
                <w:sz w:val="16"/>
                <w:szCs w:val="16"/>
              </w:rPr>
            </w:pPr>
            <w:r w:rsidRPr="00B55054">
              <w:rPr>
                <w:rFonts w:ascii="Verdana" w:hAnsi="Verdana" w:cs="Arial"/>
                <w:sz w:val="16"/>
                <w:szCs w:val="16"/>
              </w:rPr>
              <w:t>Zelena komponenta</w:t>
            </w:r>
            <w:r w:rsidRPr="00B55054">
              <w:rPr>
                <w:rFonts w:ascii="Verdana" w:hAnsi="Verdana" w:cs="Arial"/>
                <w:sz w:val="16"/>
                <w:szCs w:val="16"/>
                <w:vertAlign w:val="superscript"/>
              </w:rPr>
              <w:t>5</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CB4B80" w:rsidP="00D43E81">
            <w:pPr>
              <w:jc w:val="right"/>
              <w:rPr>
                <w:rFonts w:ascii="Verdana" w:hAnsi="Verdana" w:cs="Arial"/>
                <w:sz w:val="16"/>
                <w:szCs w:val="16"/>
              </w:rPr>
            </w:pPr>
            <w:r w:rsidRPr="00B55054">
              <w:rPr>
                <w:rFonts w:ascii="Verdana" w:hAnsi="Verdana" w:cs="Arial"/>
                <w:sz w:val="16"/>
                <w:szCs w:val="16"/>
              </w:rPr>
              <w:t>78,86/</w:t>
            </w:r>
          </w:p>
          <w:p w:rsidR="00CB4B80" w:rsidRPr="00B55054" w:rsidRDefault="00CB4B80" w:rsidP="00D43E81">
            <w:pPr>
              <w:jc w:val="right"/>
              <w:rPr>
                <w:rFonts w:ascii="Verdana" w:hAnsi="Verdana" w:cs="Arial"/>
                <w:sz w:val="16"/>
                <w:szCs w:val="16"/>
              </w:rPr>
            </w:pPr>
            <w:r w:rsidRPr="00B55054">
              <w:rPr>
                <w:rFonts w:ascii="Verdana" w:hAnsi="Verdana" w:cs="Arial"/>
                <w:sz w:val="16"/>
                <w:szCs w:val="16"/>
              </w:rPr>
              <w:t>29,57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49184B" w:rsidP="00B55054">
            <w:pPr>
              <w:jc w:val="right"/>
              <w:rPr>
                <w:rFonts w:ascii="Verdana" w:hAnsi="Verdana" w:cs="Arial"/>
                <w:sz w:val="16"/>
                <w:szCs w:val="16"/>
              </w:rPr>
            </w:pPr>
            <w:r>
              <w:rPr>
                <w:rFonts w:ascii="Verdana" w:hAnsi="Verdana" w:cs="Arial"/>
                <w:sz w:val="16"/>
                <w:szCs w:val="16"/>
              </w:rPr>
              <w:t>78,36</w:t>
            </w:r>
            <w:r w:rsidR="00CB4B80" w:rsidRPr="00B55054">
              <w:rPr>
                <w:rFonts w:ascii="Verdana" w:hAnsi="Verdana" w:cs="Arial"/>
                <w:sz w:val="16"/>
                <w:szCs w:val="16"/>
              </w:rPr>
              <w:t>/</w:t>
            </w:r>
          </w:p>
          <w:p w:rsidR="00CB4B80" w:rsidRPr="00B55054" w:rsidRDefault="00CB4B80" w:rsidP="0049184B">
            <w:pPr>
              <w:jc w:val="right"/>
              <w:rPr>
                <w:rFonts w:ascii="Verdana" w:hAnsi="Verdana" w:cs="Arial"/>
                <w:color w:val="548DD4" w:themeColor="text2" w:themeTint="99"/>
                <w:sz w:val="16"/>
                <w:szCs w:val="16"/>
              </w:rPr>
            </w:pPr>
            <w:r w:rsidRPr="00B55054">
              <w:rPr>
                <w:rFonts w:ascii="Verdana" w:hAnsi="Verdana" w:cs="Arial"/>
                <w:sz w:val="16"/>
                <w:szCs w:val="16"/>
              </w:rPr>
              <w:t>29,</w:t>
            </w:r>
            <w:r w:rsidR="0049184B">
              <w:rPr>
                <w:rFonts w:ascii="Verdana" w:hAnsi="Verdana" w:cs="Arial"/>
                <w:sz w:val="16"/>
                <w:szCs w:val="16"/>
              </w:rPr>
              <w:t>39</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Default="0049184B" w:rsidP="00993D74">
            <w:pPr>
              <w:jc w:val="right"/>
              <w:rPr>
                <w:rFonts w:ascii="Verdana" w:hAnsi="Verdana" w:cs="Arial"/>
                <w:sz w:val="16"/>
                <w:szCs w:val="16"/>
              </w:rPr>
            </w:pPr>
            <w:r>
              <w:rPr>
                <w:rFonts w:ascii="Verdana" w:hAnsi="Verdana" w:cs="Arial"/>
                <w:sz w:val="16"/>
                <w:szCs w:val="16"/>
              </w:rPr>
              <w:t>77,02</w:t>
            </w:r>
            <w:r w:rsidR="00CB4B80" w:rsidRPr="00B55054">
              <w:rPr>
                <w:rFonts w:ascii="Verdana" w:hAnsi="Verdana" w:cs="Arial"/>
                <w:sz w:val="16"/>
                <w:szCs w:val="16"/>
              </w:rPr>
              <w:t>/</w:t>
            </w:r>
          </w:p>
          <w:p w:rsidR="00CB4B80" w:rsidRPr="00B55054" w:rsidRDefault="00CB4B80" w:rsidP="0049184B">
            <w:pPr>
              <w:jc w:val="right"/>
              <w:rPr>
                <w:rFonts w:ascii="Verdana" w:hAnsi="Verdana" w:cs="Arial"/>
                <w:color w:val="548DD4" w:themeColor="text2" w:themeTint="99"/>
                <w:sz w:val="16"/>
                <w:szCs w:val="16"/>
              </w:rPr>
            </w:pPr>
            <w:r>
              <w:rPr>
                <w:rFonts w:ascii="Verdana" w:hAnsi="Verdana" w:cs="Arial"/>
                <w:sz w:val="16"/>
                <w:szCs w:val="16"/>
              </w:rPr>
              <w:t>28,</w:t>
            </w:r>
            <w:r w:rsidR="0049184B">
              <w:rPr>
                <w:rFonts w:ascii="Verdana" w:hAnsi="Verdana" w:cs="Arial"/>
                <w:sz w:val="16"/>
                <w:szCs w:val="16"/>
              </w:rPr>
              <w:t>88</w:t>
            </w:r>
          </w:p>
        </w:tc>
      </w:tr>
      <w:tr w:rsidR="00CB4B80" w:rsidRPr="00B55054" w:rsidTr="00CB4B80">
        <w:trPr>
          <w:cantSplit/>
          <w:trHeight w:val="275"/>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KROMPIR</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color w:val="548DD4" w:themeColor="text2" w:themeTint="99"/>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993D74">
            <w:pPr>
              <w:jc w:val="right"/>
              <w:rPr>
                <w:rFonts w:ascii="Verdana" w:hAnsi="Verdana" w:cs="Arial"/>
                <w:color w:val="548DD4" w:themeColor="text2" w:themeTint="99"/>
                <w:sz w:val="16"/>
                <w:szCs w:val="16"/>
              </w:rPr>
            </w:pPr>
            <w:r>
              <w:rPr>
                <w:rFonts w:ascii="Verdana" w:hAnsi="Verdana" w:cs="Arial"/>
                <w:color w:val="548DD4" w:themeColor="text2" w:themeTint="99"/>
                <w:sz w:val="16"/>
                <w:szCs w:val="16"/>
              </w:rPr>
              <w:t>-</w:t>
            </w:r>
          </w:p>
        </w:tc>
      </w:tr>
      <w:tr w:rsidR="00404E2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C4F85">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t>3</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174,91</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172,59</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169,62</w:t>
            </w:r>
          </w:p>
        </w:tc>
      </w:tr>
      <w:tr w:rsidR="0049184B"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C4F85">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1C6C23">
            <w:pPr>
              <w:jc w:val="right"/>
              <w:rPr>
                <w:rFonts w:ascii="Verdana" w:hAnsi="Verdana" w:cs="Arial"/>
                <w:sz w:val="16"/>
                <w:szCs w:val="16"/>
              </w:rPr>
            </w:pPr>
            <w:r w:rsidRPr="00B55054">
              <w:rPr>
                <w:rFonts w:ascii="Verdana" w:hAnsi="Verdana" w:cs="Arial"/>
                <w:bCs/>
                <w:sz w:val="16"/>
                <w:szCs w:val="16"/>
              </w:rPr>
              <w:t>98,57</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97,95</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96,27</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KRMA S TRAJNEGA TRAVINJA</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 </w:t>
            </w: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sz w:val="16"/>
                <w:szCs w:val="16"/>
              </w:rPr>
            </w:pP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108,7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sz w:val="16"/>
                <w:szCs w:val="16"/>
              </w:rPr>
            </w:pPr>
            <w:r>
              <w:rPr>
                <w:rFonts w:ascii="Verdana" w:hAnsi="Verdana" w:cs="Arial"/>
                <w:sz w:val="16"/>
                <w:szCs w:val="16"/>
              </w:rPr>
              <w:t>-</w:t>
            </w:r>
          </w:p>
        </w:tc>
      </w:tr>
      <w:tr w:rsidR="00404E2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footnoteReference w:id="6"/>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64,98</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72,58</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79,95</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1C6C23">
            <w:pPr>
              <w:jc w:val="right"/>
              <w:rPr>
                <w:rFonts w:ascii="Verdana" w:hAnsi="Verdana" w:cs="Arial"/>
                <w:sz w:val="16"/>
                <w:szCs w:val="16"/>
              </w:rPr>
            </w:pPr>
            <w:r w:rsidRPr="00B55054">
              <w:rPr>
                <w:rFonts w:ascii="Verdana" w:hAnsi="Verdana" w:cs="Arial"/>
                <w:sz w:val="16"/>
                <w:szCs w:val="16"/>
              </w:rPr>
              <w:t>36,62</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49184B" w:rsidP="00CB4B80">
            <w:pPr>
              <w:jc w:val="right"/>
              <w:rPr>
                <w:rFonts w:ascii="Verdana" w:hAnsi="Verdana" w:cs="Arial"/>
                <w:sz w:val="16"/>
                <w:szCs w:val="16"/>
              </w:rPr>
            </w:pPr>
            <w:r>
              <w:rPr>
                <w:rFonts w:ascii="Verdana" w:hAnsi="Verdana" w:cs="Arial"/>
                <w:sz w:val="16"/>
                <w:szCs w:val="16"/>
              </w:rPr>
              <w:t>41,19</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49184B" w:rsidP="007413DD">
            <w:pPr>
              <w:jc w:val="right"/>
              <w:rPr>
                <w:rFonts w:ascii="Verdana" w:hAnsi="Verdana" w:cs="Arial"/>
                <w:sz w:val="16"/>
                <w:szCs w:val="16"/>
              </w:rPr>
            </w:pPr>
            <w:r>
              <w:rPr>
                <w:rFonts w:ascii="Verdana" w:hAnsi="Verdana" w:cs="Arial"/>
                <w:sz w:val="16"/>
                <w:szCs w:val="16"/>
              </w:rPr>
              <w:t>45,38</w:t>
            </w:r>
          </w:p>
        </w:tc>
      </w:tr>
      <w:tr w:rsidR="00CB4B80" w:rsidRPr="00B55054" w:rsidTr="00CB4B80">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006173">
            <w:pPr>
              <w:jc w:val="left"/>
              <w:rPr>
                <w:rFonts w:ascii="Verdana" w:hAnsi="Verdana" w:cs="Arial"/>
                <w:sz w:val="16"/>
                <w:szCs w:val="16"/>
              </w:rPr>
            </w:pPr>
            <w:r w:rsidRPr="00B55054">
              <w:rPr>
                <w:rFonts w:ascii="Verdana" w:hAnsi="Verdana" w:cs="Arial"/>
                <w:sz w:val="16"/>
                <w:szCs w:val="16"/>
              </w:rPr>
              <w:lastRenderedPageBreak/>
              <w:t>SADJE</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006173">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7413DD">
            <w:pPr>
              <w:jc w:val="left"/>
              <w:rPr>
                <w:rFonts w:ascii="Verdana" w:hAnsi="Verdana" w:cs="Arial"/>
                <w:sz w:val="16"/>
                <w:szCs w:val="16"/>
              </w:rPr>
            </w:pP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7413D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993D74">
            <w:pPr>
              <w:jc w:val="right"/>
              <w:rPr>
                <w:rFonts w:ascii="Verdana" w:hAnsi="Verdana" w:cs="Arial"/>
                <w:color w:val="548DD4" w:themeColor="text2" w:themeTint="99"/>
                <w:sz w:val="16"/>
                <w:szCs w:val="16"/>
              </w:rPr>
            </w:pPr>
            <w:r>
              <w:rPr>
                <w:rFonts w:ascii="Verdana" w:hAnsi="Verdana" w:cs="Arial"/>
                <w:color w:val="548DD4" w:themeColor="text2" w:themeTint="99"/>
                <w:sz w:val="16"/>
                <w:szCs w:val="16"/>
              </w:rPr>
              <w:t>-</w:t>
            </w:r>
          </w:p>
        </w:tc>
      </w:tr>
      <w:tr w:rsidR="00404E2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C4F85">
            <w:pPr>
              <w:jc w:val="left"/>
              <w:rPr>
                <w:rFonts w:ascii="Verdana" w:hAnsi="Verdana" w:cs="Arial"/>
                <w:sz w:val="16"/>
                <w:szCs w:val="16"/>
              </w:rPr>
            </w:pPr>
            <w:r w:rsidRPr="00B55054">
              <w:rPr>
                <w:rFonts w:ascii="Verdana" w:hAnsi="Verdana" w:cs="Arial"/>
                <w:sz w:val="16"/>
                <w:szCs w:val="16"/>
              </w:rPr>
              <w:t>Plačilna pravica</w:t>
            </w:r>
            <w:r w:rsidRPr="00B55054">
              <w:rPr>
                <w:rStyle w:val="Sprotnaopomba-sklic"/>
                <w:rFonts w:ascii="Verdana" w:hAnsi="Verdana" w:cs="Arial"/>
                <w:sz w:val="16"/>
                <w:szCs w:val="16"/>
              </w:rPr>
              <w:t>3</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FD1F38">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174,91</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172,59</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169,62</w:t>
            </w:r>
          </w:p>
        </w:tc>
      </w:tr>
      <w:tr w:rsidR="0049184B"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C4F85">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1C6C23">
            <w:pPr>
              <w:jc w:val="right"/>
              <w:rPr>
                <w:rFonts w:ascii="Verdana" w:hAnsi="Verdana" w:cs="Arial"/>
                <w:bCs/>
                <w:sz w:val="16"/>
                <w:szCs w:val="16"/>
              </w:rPr>
            </w:pPr>
            <w:r w:rsidRPr="00B55054">
              <w:rPr>
                <w:rFonts w:ascii="Verdana" w:hAnsi="Verdana" w:cs="Arial"/>
                <w:bCs/>
                <w:sz w:val="16"/>
                <w:szCs w:val="16"/>
              </w:rPr>
              <w:t>98,57</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97,95</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96,27</w:t>
            </w: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VINOGRADI</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4A01B2">
            <w:pPr>
              <w:jc w:val="left"/>
              <w:rPr>
                <w:rFonts w:ascii="Verdana" w:hAnsi="Verdana" w:cs="Arial"/>
                <w:color w:val="548DD4" w:themeColor="text2" w:themeTint="99"/>
                <w:sz w:val="16"/>
                <w:szCs w:val="16"/>
              </w:rPr>
            </w:pP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4A01B2">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493E">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color w:val="548DD4" w:themeColor="text2" w:themeTint="99"/>
                <w:sz w:val="16"/>
                <w:szCs w:val="16"/>
              </w:rPr>
            </w:pPr>
            <w:r>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993D74">
            <w:pPr>
              <w:jc w:val="right"/>
              <w:rPr>
                <w:rFonts w:ascii="Verdana" w:hAnsi="Verdana" w:cs="Arial"/>
                <w:color w:val="548DD4" w:themeColor="text2" w:themeTint="99"/>
                <w:sz w:val="16"/>
                <w:szCs w:val="16"/>
              </w:rPr>
            </w:pPr>
            <w:r>
              <w:rPr>
                <w:rFonts w:ascii="Verdana" w:hAnsi="Verdana" w:cs="Arial"/>
                <w:color w:val="548DD4" w:themeColor="text2" w:themeTint="99"/>
                <w:sz w:val="16"/>
                <w:szCs w:val="16"/>
              </w:rPr>
              <w:t>-</w:t>
            </w: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C4F85">
            <w:pPr>
              <w:jc w:val="left"/>
              <w:rPr>
                <w:rFonts w:ascii="Verdana" w:hAnsi="Verdana" w:cs="Arial"/>
                <w:sz w:val="16"/>
                <w:szCs w:val="16"/>
              </w:rPr>
            </w:pPr>
            <w:r w:rsidRPr="00B55054">
              <w:rPr>
                <w:rFonts w:ascii="Verdana" w:hAnsi="Verdana" w:cs="Arial"/>
                <w:sz w:val="16"/>
                <w:szCs w:val="16"/>
              </w:rPr>
              <w:t>Plačilna pravica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~20,00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B55054">
            <w:pPr>
              <w:jc w:val="right"/>
              <w:rPr>
                <w:rFonts w:ascii="Verdana" w:hAnsi="Verdana" w:cs="Arial"/>
                <w:sz w:val="16"/>
                <w:szCs w:val="16"/>
              </w:rPr>
            </w:pPr>
            <w:r w:rsidRPr="00B55054">
              <w:rPr>
                <w:rFonts w:ascii="Verdana" w:hAnsi="Verdana" w:cs="Arial"/>
                <w:sz w:val="16"/>
                <w:szCs w:val="16"/>
              </w:rPr>
              <w:t>~38,55</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CB4B80">
            <w:pPr>
              <w:jc w:val="right"/>
              <w:rPr>
                <w:rFonts w:ascii="Verdana" w:hAnsi="Verdana" w:cs="Arial"/>
                <w:sz w:val="16"/>
                <w:szCs w:val="16"/>
              </w:rPr>
            </w:pPr>
            <w:r w:rsidRPr="00B55054">
              <w:rPr>
                <w:rFonts w:ascii="Verdana" w:hAnsi="Verdana" w:cs="Arial"/>
                <w:sz w:val="16"/>
                <w:szCs w:val="16"/>
              </w:rPr>
              <w:t>~</w:t>
            </w:r>
            <w:r>
              <w:rPr>
                <w:rFonts w:ascii="Verdana" w:hAnsi="Verdana" w:cs="Arial"/>
                <w:sz w:val="16"/>
                <w:szCs w:val="16"/>
              </w:rPr>
              <w:t>57,27</w:t>
            </w: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C4F85">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006173">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A01B2">
            <w:pPr>
              <w:jc w:val="right"/>
              <w:rPr>
                <w:rFonts w:ascii="Verdana" w:hAnsi="Verdana" w:cs="Arial"/>
                <w:sz w:val="16"/>
                <w:szCs w:val="16"/>
              </w:rPr>
            </w:pPr>
            <w:r w:rsidRPr="00B55054">
              <w:rPr>
                <w:rFonts w:ascii="Verdana" w:hAnsi="Verdana" w:cs="Arial"/>
                <w:sz w:val="16"/>
                <w:szCs w:val="16"/>
              </w:rPr>
              <w:t>~11,00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9184B">
            <w:pPr>
              <w:jc w:val="right"/>
              <w:rPr>
                <w:rFonts w:ascii="Verdana" w:hAnsi="Verdana" w:cs="Arial"/>
                <w:sz w:val="16"/>
                <w:szCs w:val="16"/>
              </w:rPr>
            </w:pPr>
            <w:r w:rsidRPr="00B55054">
              <w:rPr>
                <w:rFonts w:ascii="Verdana" w:hAnsi="Verdana" w:cs="Arial"/>
                <w:sz w:val="16"/>
                <w:szCs w:val="16"/>
              </w:rPr>
              <w:t>~</w:t>
            </w:r>
            <w:r w:rsidR="0049184B">
              <w:rPr>
                <w:rFonts w:ascii="Verdana" w:hAnsi="Verdana" w:cs="Arial"/>
                <w:sz w:val="16"/>
                <w:szCs w:val="16"/>
              </w:rPr>
              <w:t>21,88</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49184B">
            <w:pPr>
              <w:jc w:val="right"/>
              <w:rPr>
                <w:rFonts w:ascii="Verdana" w:hAnsi="Verdana" w:cs="Arial"/>
                <w:sz w:val="16"/>
                <w:szCs w:val="16"/>
              </w:rPr>
            </w:pPr>
            <w:r w:rsidRPr="00B55054">
              <w:rPr>
                <w:rFonts w:ascii="Verdana" w:hAnsi="Verdana" w:cs="Arial"/>
                <w:sz w:val="16"/>
                <w:szCs w:val="16"/>
              </w:rPr>
              <w:t>~</w:t>
            </w:r>
            <w:r w:rsidR="0049184B">
              <w:rPr>
                <w:rFonts w:ascii="Verdana" w:hAnsi="Verdana" w:cs="Arial"/>
                <w:sz w:val="16"/>
                <w:szCs w:val="16"/>
              </w:rPr>
              <w:t>32,50</w:t>
            </w: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E03E5D">
            <w:pPr>
              <w:jc w:val="left"/>
              <w:rPr>
                <w:rFonts w:ascii="Verdana" w:hAnsi="Verdana" w:cs="Arial"/>
                <w:sz w:val="16"/>
                <w:szCs w:val="16"/>
              </w:rPr>
            </w:pPr>
            <w:r w:rsidRPr="00B55054">
              <w:rPr>
                <w:rFonts w:ascii="Verdana" w:hAnsi="Verdana" w:cs="Arial"/>
                <w:sz w:val="16"/>
                <w:szCs w:val="16"/>
              </w:rPr>
              <w:t>ZELENJADNICE</w:t>
            </w:r>
          </w:p>
        </w:tc>
        <w:tc>
          <w:tcPr>
            <w:tcW w:w="850"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C0C0C0"/>
            <w:vAlign w:val="bottom"/>
          </w:tcPr>
          <w:p w:rsidR="00CB4B80" w:rsidRPr="00B55054" w:rsidRDefault="00CB4B80" w:rsidP="00E03E5D">
            <w:pPr>
              <w:jc w:val="left"/>
              <w:rPr>
                <w:rFonts w:ascii="Verdana" w:hAnsi="Verdana" w:cs="Arial"/>
                <w:color w:val="548DD4" w:themeColor="text2" w:themeTint="99"/>
                <w:sz w:val="16"/>
                <w:szCs w:val="16"/>
              </w:rPr>
            </w:pP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03E5D">
            <w:pPr>
              <w:jc w:val="left"/>
              <w:rPr>
                <w:rFonts w:ascii="Verdana" w:hAnsi="Verdana" w:cs="Arial"/>
                <w:sz w:val="16"/>
                <w:szCs w:val="16"/>
              </w:rPr>
            </w:pPr>
            <w:r w:rsidRPr="00B55054">
              <w:rPr>
                <w:rFonts w:ascii="Verdana" w:hAnsi="Verdana" w:cs="Arial"/>
                <w:sz w:val="16"/>
                <w:szCs w:val="16"/>
              </w:rPr>
              <w:t>Regionalno enotno plačilo</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03E5D">
            <w:pPr>
              <w:jc w:val="left"/>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332,0</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color w:val="548DD4" w:themeColor="text2" w:themeTint="99"/>
                <w:sz w:val="16"/>
                <w:szCs w:val="16"/>
              </w:rPr>
            </w:pPr>
            <w:r w:rsidRPr="00B55054">
              <w:rPr>
                <w:rFonts w:ascii="Verdana" w:hAnsi="Verdana" w:cs="Arial"/>
                <w:color w:val="548DD4" w:themeColor="text2" w:themeTint="99"/>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993D74">
            <w:pPr>
              <w:jc w:val="right"/>
              <w:rPr>
                <w:rFonts w:ascii="Verdana" w:hAnsi="Verdana" w:cs="Arial"/>
                <w:color w:val="548DD4" w:themeColor="text2" w:themeTint="99"/>
                <w:sz w:val="16"/>
                <w:szCs w:val="16"/>
              </w:rPr>
            </w:pPr>
            <w:r>
              <w:rPr>
                <w:rFonts w:ascii="Verdana" w:hAnsi="Verdana" w:cs="Arial"/>
                <w:color w:val="548DD4" w:themeColor="text2" w:themeTint="99"/>
                <w:sz w:val="16"/>
                <w:szCs w:val="16"/>
              </w:rPr>
              <w:t>-</w:t>
            </w:r>
          </w:p>
        </w:tc>
      </w:tr>
      <w:tr w:rsidR="00404E2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03E5D">
            <w:pPr>
              <w:jc w:val="left"/>
              <w:rPr>
                <w:rFonts w:ascii="Verdana" w:hAnsi="Verdana" w:cs="Arial"/>
                <w:sz w:val="16"/>
                <w:szCs w:val="16"/>
              </w:rPr>
            </w:pPr>
            <w:r w:rsidRPr="00B55054">
              <w:rPr>
                <w:rFonts w:ascii="Verdana" w:hAnsi="Verdana" w:cs="Arial"/>
                <w:sz w:val="16"/>
                <w:szCs w:val="16"/>
              </w:rPr>
              <w:t>Plačilna pravica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03E5D">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Pr="00B55054" w:rsidRDefault="00404E2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174,91</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172,59</w:t>
            </w:r>
          </w:p>
        </w:tc>
        <w:tc>
          <w:tcPr>
            <w:tcW w:w="915"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169,62</w:t>
            </w:r>
          </w:p>
        </w:tc>
      </w:tr>
      <w:tr w:rsidR="0049184B"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03E5D">
            <w:pPr>
              <w:jc w:val="left"/>
              <w:rPr>
                <w:rFonts w:ascii="Verdana" w:hAnsi="Verdana" w:cs="Arial"/>
                <w:sz w:val="16"/>
                <w:szCs w:val="16"/>
              </w:rPr>
            </w:pPr>
            <w:r w:rsidRPr="00B55054">
              <w:rPr>
                <w:rFonts w:ascii="Verdana" w:hAnsi="Verdana" w:cs="Arial"/>
                <w:sz w:val="16"/>
                <w:szCs w:val="16"/>
              </w:rPr>
              <w:t>Zelena komponenta</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03E5D">
            <w:pPr>
              <w:rPr>
                <w:rFonts w:ascii="Verdana" w:hAnsi="Verdana"/>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E03E5D">
            <w:pPr>
              <w:jc w:val="right"/>
              <w:rPr>
                <w:rFonts w:ascii="Verdana" w:hAnsi="Verdana" w:cs="Arial"/>
                <w:bCs/>
                <w:sz w:val="16"/>
                <w:szCs w:val="16"/>
              </w:rPr>
            </w:pPr>
            <w:r w:rsidRPr="00B55054">
              <w:rPr>
                <w:rFonts w:ascii="Verdana" w:hAnsi="Verdana" w:cs="Arial"/>
                <w:bCs/>
                <w:sz w:val="16"/>
                <w:szCs w:val="16"/>
              </w:rPr>
              <w:t>98,57</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97,95</w:t>
            </w:r>
          </w:p>
        </w:tc>
        <w:tc>
          <w:tcPr>
            <w:tcW w:w="915" w:type="dxa"/>
            <w:tcBorders>
              <w:top w:val="single" w:sz="2" w:space="0" w:color="auto"/>
              <w:left w:val="single" w:sz="2" w:space="0" w:color="auto"/>
              <w:bottom w:val="single" w:sz="2" w:space="0" w:color="auto"/>
              <w:right w:val="single" w:sz="2" w:space="0" w:color="auto"/>
            </w:tcBorders>
            <w:vAlign w:val="bottom"/>
          </w:tcPr>
          <w:p w:rsidR="0049184B" w:rsidRPr="00B55054" w:rsidRDefault="0049184B" w:rsidP="008D01C9">
            <w:pPr>
              <w:jc w:val="right"/>
              <w:rPr>
                <w:rFonts w:ascii="Verdana" w:hAnsi="Verdana"/>
                <w:color w:val="000000"/>
                <w:sz w:val="16"/>
                <w:szCs w:val="16"/>
              </w:rPr>
            </w:pPr>
            <w:r>
              <w:rPr>
                <w:rFonts w:ascii="Verdana" w:hAnsi="Verdana"/>
                <w:color w:val="000000"/>
                <w:sz w:val="16"/>
                <w:szCs w:val="16"/>
              </w:rPr>
              <w:t>96,27</w:t>
            </w: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03E5D">
            <w:pPr>
              <w:jc w:val="left"/>
              <w:rPr>
                <w:rFonts w:ascii="Verdana" w:hAnsi="Verdana" w:cs="Arial"/>
                <w:sz w:val="16"/>
                <w:szCs w:val="16"/>
              </w:rPr>
            </w:pPr>
            <w:r w:rsidRPr="00B55054">
              <w:rPr>
                <w:rFonts w:ascii="Verdana" w:hAnsi="Verdana" w:cs="Arial"/>
                <w:sz w:val="16"/>
                <w:szCs w:val="16"/>
              </w:rPr>
              <w:t>Proizvodno vezano plačilo  za zelenjadnice</w:t>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03E5D">
            <w:pPr>
              <w:rPr>
                <w:rFonts w:ascii="Verdana" w:hAnsi="Verdana" w:cs="Arial"/>
                <w:sz w:val="16"/>
                <w:szCs w:val="16"/>
              </w:rPr>
            </w:pPr>
            <w:r w:rsidRPr="00B55054">
              <w:rPr>
                <w:rFonts w:ascii="Verdana" w:hAnsi="Verdana" w:cs="Arial"/>
                <w:sz w:val="16"/>
                <w:szCs w:val="16"/>
              </w:rPr>
              <w:t>EUR/ha</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E03E5D">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E03E5D">
            <w:pPr>
              <w:jc w:val="right"/>
              <w:rPr>
                <w:rFonts w:ascii="Verdana" w:hAnsi="Verdana" w:cs="Arial"/>
                <w:sz w:val="16"/>
                <w:szCs w:val="16"/>
              </w:rPr>
            </w:pPr>
            <w:r w:rsidRPr="00B55054">
              <w:rPr>
                <w:rFonts w:ascii="Verdana" w:hAnsi="Verdana" w:cs="Arial"/>
                <w:sz w:val="16"/>
                <w:szCs w:val="16"/>
              </w:rPr>
              <w:t>1.989,08</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1D561F" w:rsidP="00E03E5D">
            <w:pPr>
              <w:jc w:val="right"/>
              <w:rPr>
                <w:rFonts w:ascii="Verdana" w:hAnsi="Verdana" w:cs="Arial"/>
                <w:sz w:val="16"/>
                <w:szCs w:val="16"/>
              </w:rPr>
            </w:pPr>
            <w:r>
              <w:rPr>
                <w:rFonts w:ascii="Verdana" w:hAnsi="Verdana" w:cs="Arial"/>
                <w:sz w:val="16"/>
                <w:szCs w:val="16"/>
              </w:rPr>
              <w:t>1.187,07</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1D561F" w:rsidP="00E03E5D">
            <w:pPr>
              <w:jc w:val="right"/>
              <w:rPr>
                <w:rFonts w:ascii="Verdana" w:hAnsi="Verdana" w:cs="Arial"/>
                <w:sz w:val="16"/>
                <w:szCs w:val="16"/>
              </w:rPr>
            </w:pPr>
            <w:r>
              <w:rPr>
                <w:rFonts w:ascii="Verdana" w:hAnsi="Verdana" w:cs="Arial"/>
                <w:sz w:val="16"/>
                <w:szCs w:val="16"/>
              </w:rPr>
              <w:t>937,52</w:t>
            </w: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BFBFBF"/>
            <w:noWrap/>
            <w:vAlign w:val="bottom"/>
          </w:tcPr>
          <w:p w:rsidR="00CB4B80" w:rsidRPr="00B55054" w:rsidRDefault="00CB4B80" w:rsidP="00006173">
            <w:pPr>
              <w:jc w:val="left"/>
              <w:rPr>
                <w:rFonts w:ascii="Verdana" w:hAnsi="Verdana" w:cs="Arial"/>
                <w:sz w:val="16"/>
                <w:szCs w:val="16"/>
              </w:rPr>
            </w:pPr>
            <w:r w:rsidRPr="00B55054">
              <w:rPr>
                <w:rFonts w:ascii="Verdana" w:hAnsi="Verdana" w:cs="Arial"/>
                <w:sz w:val="16"/>
                <w:szCs w:val="16"/>
              </w:rPr>
              <w:t>VSE KULTURE</w:t>
            </w:r>
          </w:p>
        </w:tc>
        <w:tc>
          <w:tcPr>
            <w:tcW w:w="850" w:type="dxa"/>
            <w:tcBorders>
              <w:top w:val="single" w:sz="2" w:space="0" w:color="auto"/>
              <w:left w:val="single" w:sz="2" w:space="0" w:color="auto"/>
              <w:bottom w:val="single" w:sz="2" w:space="0" w:color="auto"/>
              <w:right w:val="single" w:sz="2" w:space="0" w:color="auto"/>
            </w:tcBorders>
            <w:shd w:val="clear" w:color="auto" w:fill="BFBFBF"/>
            <w:noWrap/>
            <w:vAlign w:val="bottom"/>
          </w:tcPr>
          <w:p w:rsidR="00CB4B80" w:rsidRPr="00B55054" w:rsidRDefault="00CB4B80" w:rsidP="00006173">
            <w:pPr>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noWrap/>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006173">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4A01B2">
            <w:pPr>
              <w:jc w:val="right"/>
              <w:rPr>
                <w:rFonts w:ascii="Verdana" w:hAnsi="Verdana" w:cs="Arial"/>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4A01B2">
            <w:pPr>
              <w:jc w:val="right"/>
              <w:rPr>
                <w:rFonts w:ascii="Verdana" w:hAnsi="Verdana" w:cs="Arial"/>
                <w:color w:val="548DD4" w:themeColor="text2" w:themeTint="99"/>
                <w:sz w:val="16"/>
                <w:szCs w:val="16"/>
              </w:rPr>
            </w:pPr>
          </w:p>
        </w:tc>
        <w:tc>
          <w:tcPr>
            <w:tcW w:w="915" w:type="dxa"/>
            <w:tcBorders>
              <w:top w:val="single" w:sz="2" w:space="0" w:color="auto"/>
              <w:left w:val="single" w:sz="2" w:space="0" w:color="auto"/>
              <w:bottom w:val="single" w:sz="2" w:space="0" w:color="auto"/>
              <w:right w:val="single" w:sz="2" w:space="0" w:color="auto"/>
            </w:tcBorders>
            <w:shd w:val="clear" w:color="auto" w:fill="BFBFBF"/>
            <w:vAlign w:val="bottom"/>
          </w:tcPr>
          <w:p w:rsidR="00CB4B80" w:rsidRPr="00B55054" w:rsidRDefault="00CB4B80" w:rsidP="004A01B2">
            <w:pPr>
              <w:jc w:val="right"/>
              <w:rPr>
                <w:rFonts w:ascii="Verdana" w:hAnsi="Verdana" w:cs="Arial"/>
                <w:color w:val="548DD4" w:themeColor="text2" w:themeTint="99"/>
                <w:sz w:val="16"/>
                <w:szCs w:val="16"/>
              </w:rPr>
            </w:pPr>
          </w:p>
        </w:tc>
      </w:tr>
      <w:tr w:rsidR="00CB4B80" w:rsidRPr="00B55054" w:rsidTr="008E4EF8">
        <w:trPr>
          <w:cantSplit/>
          <w:trHeight w:val="227"/>
        </w:trPr>
        <w:tc>
          <w:tcPr>
            <w:tcW w:w="3119"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006173">
            <w:pPr>
              <w:jc w:val="left"/>
              <w:rPr>
                <w:rFonts w:ascii="Verdana" w:hAnsi="Verdana" w:cs="Arial"/>
                <w:sz w:val="16"/>
                <w:szCs w:val="16"/>
              </w:rPr>
            </w:pPr>
            <w:r w:rsidRPr="00B55054">
              <w:rPr>
                <w:rFonts w:ascii="Verdana" w:hAnsi="Verdana" w:cs="Arial"/>
                <w:sz w:val="16"/>
                <w:szCs w:val="16"/>
              </w:rPr>
              <w:t>Regresiranje zavarovanja</w:t>
            </w:r>
            <w:r w:rsidRPr="00B55054">
              <w:rPr>
                <w:rStyle w:val="Sprotnaopomba-sklic"/>
                <w:rFonts w:ascii="Verdana" w:hAnsi="Verdana" w:cs="Arial"/>
                <w:sz w:val="16"/>
                <w:szCs w:val="16"/>
              </w:rPr>
              <w:footnoteReference w:id="7"/>
            </w:r>
          </w:p>
        </w:tc>
        <w:tc>
          <w:tcPr>
            <w:tcW w:w="850"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left"/>
              <w:rPr>
                <w:rFonts w:ascii="Verdana" w:hAnsi="Verdana" w:cs="Arial"/>
                <w:sz w:val="16"/>
                <w:szCs w:val="16"/>
              </w:rPr>
            </w:pPr>
            <w:r w:rsidRPr="00B55054">
              <w:rPr>
                <w:rFonts w:ascii="Verdana" w:hAnsi="Verdana" w:cs="Arial"/>
                <w:sz w:val="16"/>
                <w:szCs w:val="16"/>
              </w:rPr>
              <w:t>premije</w:t>
            </w:r>
          </w:p>
        </w:tc>
        <w:tc>
          <w:tcPr>
            <w:tcW w:w="915" w:type="dxa"/>
            <w:tcBorders>
              <w:top w:val="single" w:sz="2" w:space="0" w:color="auto"/>
              <w:left w:val="single" w:sz="2" w:space="0" w:color="auto"/>
              <w:bottom w:val="single" w:sz="2" w:space="0" w:color="auto"/>
              <w:right w:val="single" w:sz="2" w:space="0" w:color="auto"/>
            </w:tcBorders>
            <w:shd w:val="clear" w:color="auto" w:fill="auto"/>
            <w:noWrap/>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40</w:t>
            </w:r>
            <w:r w:rsidR="008E4EF8">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40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50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50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50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50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50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40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F81EB6">
            <w:pPr>
              <w:jc w:val="right"/>
              <w:rPr>
                <w:rFonts w:ascii="Verdana" w:hAnsi="Verdana" w:cs="Arial"/>
                <w:sz w:val="16"/>
                <w:szCs w:val="16"/>
              </w:rPr>
            </w:pPr>
            <w:r w:rsidRPr="00B55054">
              <w:rPr>
                <w:rFonts w:ascii="Verdana" w:hAnsi="Verdana" w:cs="Arial"/>
                <w:sz w:val="16"/>
                <w:szCs w:val="16"/>
              </w:rPr>
              <w:t>20</w:t>
            </w:r>
            <w:r w:rsidR="008E4EF8">
              <w:rPr>
                <w:rFonts w:ascii="Verdana" w:hAnsi="Verdana" w:cs="Arial"/>
                <w:sz w:val="16"/>
                <w:szCs w:val="16"/>
              </w:rPr>
              <w:t xml:space="preserve"> </w:t>
            </w:r>
            <w:r w:rsidRPr="00B55054">
              <w:rPr>
                <w:rFonts w:ascii="Verdana" w:hAnsi="Verdana" w:cs="Arial"/>
                <w:sz w:val="16"/>
                <w:szCs w:val="16"/>
              </w:rPr>
              <w:t>%</w:t>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CB4B80" w:rsidP="00A9036D">
            <w:pPr>
              <w:jc w:val="right"/>
              <w:rPr>
                <w:rFonts w:ascii="Verdana" w:hAnsi="Verdana" w:cs="Arial"/>
                <w:color w:val="548DD4" w:themeColor="text2" w:themeTint="99"/>
                <w:sz w:val="16"/>
                <w:szCs w:val="16"/>
              </w:rPr>
            </w:pPr>
            <w:r w:rsidRPr="00B55054">
              <w:rPr>
                <w:rFonts w:ascii="Verdana" w:hAnsi="Verdana" w:cs="Arial"/>
                <w:sz w:val="16"/>
                <w:szCs w:val="16"/>
              </w:rPr>
              <w:t>20</w:t>
            </w:r>
            <w:r w:rsidR="008E4EF8">
              <w:rPr>
                <w:rFonts w:ascii="Verdana" w:hAnsi="Verdana" w:cs="Arial"/>
                <w:sz w:val="16"/>
                <w:szCs w:val="16"/>
              </w:rPr>
              <w:t xml:space="preserve"> </w:t>
            </w:r>
            <w:r w:rsidRPr="00B55054">
              <w:rPr>
                <w:rFonts w:ascii="Verdana" w:hAnsi="Verdana" w:cs="Arial"/>
                <w:sz w:val="16"/>
                <w:szCs w:val="16"/>
              </w:rPr>
              <w:t>%</w:t>
            </w:r>
            <w:r w:rsidRPr="00B55054">
              <w:rPr>
                <w:rStyle w:val="Sprotnaopomba-sklic"/>
                <w:rFonts w:ascii="Verdana" w:hAnsi="Verdana" w:cs="Arial"/>
                <w:sz w:val="16"/>
                <w:szCs w:val="16"/>
              </w:rPr>
              <w:footnoteReference w:id="8"/>
            </w:r>
          </w:p>
        </w:tc>
        <w:tc>
          <w:tcPr>
            <w:tcW w:w="915" w:type="dxa"/>
            <w:tcBorders>
              <w:top w:val="single" w:sz="2" w:space="0" w:color="auto"/>
              <w:left w:val="single" w:sz="2" w:space="0" w:color="auto"/>
              <w:bottom w:val="single" w:sz="2" w:space="0" w:color="auto"/>
              <w:right w:val="single" w:sz="2" w:space="0" w:color="auto"/>
            </w:tcBorders>
            <w:vAlign w:val="bottom"/>
          </w:tcPr>
          <w:p w:rsidR="00CB4B80" w:rsidRPr="00B55054" w:rsidRDefault="008E4EF8" w:rsidP="00A9036D">
            <w:pPr>
              <w:jc w:val="right"/>
              <w:rPr>
                <w:rFonts w:ascii="Verdana" w:hAnsi="Verdana" w:cs="Arial"/>
                <w:sz w:val="16"/>
                <w:szCs w:val="16"/>
              </w:rPr>
            </w:pPr>
            <w:r>
              <w:rPr>
                <w:rFonts w:ascii="Verdana" w:hAnsi="Verdana" w:cs="Arial"/>
                <w:sz w:val="16"/>
                <w:szCs w:val="16"/>
              </w:rPr>
              <w:t>20 %</w:t>
            </w:r>
            <w:r>
              <w:rPr>
                <w:rStyle w:val="Sprotnaopomba-sklic"/>
                <w:rFonts w:ascii="Verdana" w:hAnsi="Verdana" w:cs="Arial"/>
                <w:sz w:val="16"/>
                <w:szCs w:val="16"/>
              </w:rPr>
              <w:footnoteReference w:id="9"/>
            </w:r>
          </w:p>
        </w:tc>
      </w:tr>
    </w:tbl>
    <w:p w:rsidR="003A50DF" w:rsidRDefault="003A50DF" w:rsidP="00006173">
      <w:pPr>
        <w:jc w:val="left"/>
        <w:rPr>
          <w:rFonts w:ascii="Verdana" w:hAnsi="Verdana" w:cs="Arial"/>
          <w:sz w:val="16"/>
          <w:szCs w:val="16"/>
        </w:rPr>
      </w:pPr>
    </w:p>
    <w:p w:rsidR="00FD1F38" w:rsidRDefault="00FD1F38" w:rsidP="00F81EB6">
      <w:pPr>
        <w:jc w:val="left"/>
        <w:rPr>
          <w:rFonts w:ascii="Verdana" w:hAnsi="Verdana" w:cs="Arial"/>
          <w:sz w:val="16"/>
          <w:szCs w:val="16"/>
        </w:rPr>
      </w:pPr>
    </w:p>
    <w:p w:rsidR="003A50DF" w:rsidRDefault="003A50DF" w:rsidP="00F81EB6">
      <w:pPr>
        <w:jc w:val="left"/>
        <w:rPr>
          <w:rFonts w:ascii="Verdana" w:hAnsi="Verdana" w:cs="Arial"/>
          <w:sz w:val="16"/>
          <w:szCs w:val="16"/>
        </w:rPr>
      </w:pPr>
    </w:p>
    <w:p w:rsidR="003A50DF" w:rsidRDefault="003A50DF" w:rsidP="00F81EB6">
      <w:pPr>
        <w:jc w:val="left"/>
        <w:rPr>
          <w:rFonts w:ascii="Verdana" w:hAnsi="Verdana" w:cs="Arial"/>
          <w:sz w:val="16"/>
          <w:szCs w:val="16"/>
        </w:rPr>
      </w:pPr>
    </w:p>
    <w:p w:rsidR="003A50DF" w:rsidRDefault="003A50DF" w:rsidP="00F81EB6">
      <w:pPr>
        <w:jc w:val="left"/>
        <w:rPr>
          <w:rFonts w:ascii="Verdana" w:hAnsi="Verdana" w:cs="Arial"/>
          <w:sz w:val="16"/>
          <w:szCs w:val="16"/>
        </w:rPr>
        <w:sectPr w:rsidR="003A50DF" w:rsidSect="002C7B84">
          <w:pgSz w:w="16838" w:h="11906" w:orient="landscape"/>
          <w:pgMar w:top="1134" w:right="1418" w:bottom="1418" w:left="1134" w:header="709" w:footer="709" w:gutter="0"/>
          <w:cols w:space="708"/>
          <w:docGrid w:linePitch="360"/>
        </w:sectPr>
      </w:pPr>
    </w:p>
    <w:p w:rsidR="00B9745B" w:rsidRPr="00B061BE" w:rsidRDefault="00B061BE" w:rsidP="00DF27AC">
      <w:pPr>
        <w:pStyle w:val="Naslov1"/>
      </w:pPr>
      <w:r>
        <w:lastRenderedPageBreak/>
        <w:t xml:space="preserve">DODATNA </w:t>
      </w:r>
      <w:r w:rsidRPr="00B061BE">
        <w:t xml:space="preserve">SPECIFIČNA </w:t>
      </w:r>
      <w:r>
        <w:t>POJASNILA</w:t>
      </w:r>
      <w:r w:rsidRPr="00B061BE">
        <w:t xml:space="preserve"> ZA </w:t>
      </w:r>
      <w:r w:rsidR="00B9745B" w:rsidRPr="00B061BE">
        <w:t>ŽIVINOREJ</w:t>
      </w:r>
      <w:r w:rsidRPr="00B061BE">
        <w:t>O</w:t>
      </w:r>
    </w:p>
    <w:p w:rsidR="00B9745B" w:rsidRPr="00365846" w:rsidRDefault="00B9745B" w:rsidP="00B9745B">
      <w:pPr>
        <w:rPr>
          <w:rFonts w:ascii="Verdana" w:hAnsi="Verdana"/>
          <w:sz w:val="24"/>
        </w:rPr>
      </w:pPr>
    </w:p>
    <w:p w:rsidR="0029075D" w:rsidRDefault="00A1468F" w:rsidP="00B061BE">
      <w:pPr>
        <w:pStyle w:val="Telobesedila"/>
        <w:numPr>
          <w:ilvl w:val="0"/>
          <w:numId w:val="22"/>
        </w:numPr>
        <w:spacing w:after="60"/>
      </w:pPr>
      <w:r w:rsidRPr="00A1468F">
        <w:t xml:space="preserve">Izhodišče za opredelitev tehnoloških parametrov </w:t>
      </w:r>
      <w:r w:rsidR="0029075D">
        <w:t>so naslednja:</w:t>
      </w:r>
    </w:p>
    <w:p w:rsidR="0029075D" w:rsidRPr="0029075D" w:rsidRDefault="0029075D" w:rsidP="0029075D">
      <w:pPr>
        <w:numPr>
          <w:ilvl w:val="1"/>
          <w:numId w:val="22"/>
        </w:numPr>
        <w:rPr>
          <w:rFonts w:ascii="Verdana" w:hAnsi="Verdana"/>
        </w:rPr>
      </w:pPr>
      <w:r w:rsidRPr="0029075D">
        <w:rPr>
          <w:rFonts w:ascii="Verdana" w:hAnsi="Verdana"/>
        </w:rPr>
        <w:t>za govedorejo: travniško-njivsko gospodarstvo s kombinirano rejo goved (krave kombinirane pasme, telice, mlado pitano govedo); skupaj naj bi kmetija redila 31 GVŽ;</w:t>
      </w:r>
    </w:p>
    <w:p w:rsidR="0029075D" w:rsidRPr="0029075D" w:rsidRDefault="0029075D" w:rsidP="0029075D">
      <w:pPr>
        <w:numPr>
          <w:ilvl w:val="1"/>
          <w:numId w:val="22"/>
        </w:numPr>
        <w:rPr>
          <w:rFonts w:ascii="Verdana" w:hAnsi="Verdana"/>
        </w:rPr>
      </w:pPr>
      <w:r w:rsidRPr="0029075D">
        <w:rPr>
          <w:rFonts w:ascii="Verdana" w:hAnsi="Verdana"/>
        </w:rPr>
        <w:t>za prašičerejo: njivsko gospodarstvo s kombinirano rejo prašičev; predvidena je reja 15 plemenskih svinj in povprečno 100 prašičev pitancev;</w:t>
      </w:r>
    </w:p>
    <w:p w:rsidR="0029075D" w:rsidRPr="00A1468F" w:rsidRDefault="0029075D" w:rsidP="00A15859">
      <w:pPr>
        <w:numPr>
          <w:ilvl w:val="1"/>
          <w:numId w:val="22"/>
        </w:numPr>
        <w:spacing w:after="120"/>
        <w:ind w:left="1434" w:hanging="357"/>
      </w:pPr>
      <w:r w:rsidRPr="0029075D">
        <w:rPr>
          <w:rFonts w:ascii="Verdana" w:hAnsi="Verdana"/>
        </w:rPr>
        <w:t xml:space="preserve">za ovčerejo: travniško gospodarstvo, ki redi jezersko-solčavsko pasmo ovc za prodajo pitanih jagnjet; skupaj naj bi kmetija imela 100 plemenskih ovc, 3 ovne (obnova z nakupom) in pripadajoče število jagnjet (za obnovo črede in prodajo); </w:t>
      </w:r>
      <w:proofErr w:type="spellStart"/>
      <w:r w:rsidRPr="0029075D">
        <w:rPr>
          <w:rFonts w:ascii="Verdana" w:hAnsi="Verdana"/>
        </w:rPr>
        <w:t>jagnjitve</w:t>
      </w:r>
      <w:proofErr w:type="spellEnd"/>
      <w:r w:rsidRPr="0029075D">
        <w:rPr>
          <w:rFonts w:ascii="Verdana" w:hAnsi="Verdana"/>
        </w:rPr>
        <w:t xml:space="preserve"> so sezonske</w:t>
      </w:r>
      <w:r w:rsidR="00DA2916">
        <w:rPr>
          <w:rFonts w:ascii="Verdana" w:hAnsi="Verdana"/>
        </w:rPr>
        <w:t>.</w:t>
      </w:r>
      <w:r w:rsidRPr="00A1468F">
        <w:t xml:space="preserve"> </w:t>
      </w:r>
    </w:p>
    <w:p w:rsidR="001645AF" w:rsidRPr="00A1468F" w:rsidRDefault="0029075D" w:rsidP="00B061BE">
      <w:pPr>
        <w:pStyle w:val="Telobesedila"/>
        <w:numPr>
          <w:ilvl w:val="2"/>
          <w:numId w:val="22"/>
        </w:numPr>
        <w:tabs>
          <w:tab w:val="clear" w:pos="2140"/>
          <w:tab w:val="num" w:pos="330"/>
        </w:tabs>
        <w:ind w:left="329" w:hanging="329"/>
      </w:pPr>
      <w:r w:rsidRPr="00A1468F">
        <w:t>Perutninarstvo je predvideno kot dopolnilna dejavnost na kmetijah. Zaradi primerljivosti z drugimi stroškovnimi nosilci v kalkulacijah ni upoštevana sicer običajna delitev na stroške organizatorja proizvodnje in kooperanta (stroški so prikazani skupaj za vso proizvodnjo).</w:t>
      </w:r>
      <w:r w:rsidR="001645AF">
        <w:t xml:space="preserve"> </w:t>
      </w:r>
      <w:r w:rsidR="001645AF" w:rsidRPr="00A1468F">
        <w:t xml:space="preserve">Posebnost kalkulacij za perutninarstvo je </w:t>
      </w:r>
      <w:r w:rsidR="001645AF">
        <w:t xml:space="preserve">tudi </w:t>
      </w:r>
      <w:r w:rsidR="001645AF" w:rsidRPr="00A1468F">
        <w:t xml:space="preserve">obračun davka (dohodnine). Skladno s predpisi je osnova za obračun davka doseženi dohodek iz te dejavnosti, stopnja pa je enaka povprečni stopnji dohodnine, ki je predvidena za kmetijo kot celoto (skupaj z osnovno dejavnostjo). </w:t>
      </w:r>
    </w:p>
    <w:p w:rsidR="00A15859" w:rsidRDefault="00B9745B" w:rsidP="00B061BE">
      <w:pPr>
        <w:pStyle w:val="Telobesedila"/>
        <w:numPr>
          <w:ilvl w:val="2"/>
          <w:numId w:val="22"/>
        </w:numPr>
        <w:tabs>
          <w:tab w:val="clear" w:pos="2140"/>
          <w:tab w:val="num" w:pos="330"/>
        </w:tabs>
        <w:ind w:left="329" w:hanging="329"/>
      </w:pPr>
      <w:r w:rsidRPr="00A1468F">
        <w:t>Poraba krme je opredeljena na podlagi tehnoloških normativov (skupaj z normalno rezervo) ob upoštevanju predpostavljene krmne vrednosti posamezne vrste krme. Struktura krmnega obroka izhaja iz obratoslovnih izhodišč (površin, namenjenih pridelovanju krme). Kupljena krmila so obračunana ob predpostavki nakupa v mešalnici, doma pridelana krma pa po lastni ceni.</w:t>
      </w:r>
    </w:p>
    <w:p w:rsidR="00A15859" w:rsidRPr="00A1468F" w:rsidRDefault="00A15859" w:rsidP="00B061BE">
      <w:pPr>
        <w:pStyle w:val="Telobesedila"/>
        <w:numPr>
          <w:ilvl w:val="2"/>
          <w:numId w:val="22"/>
        </w:numPr>
        <w:tabs>
          <w:tab w:val="clear" w:pos="2140"/>
          <w:tab w:val="num" w:pos="330"/>
        </w:tabs>
        <w:ind w:left="329" w:hanging="329"/>
      </w:pPr>
      <w:r w:rsidRPr="00A1468F">
        <w:t xml:space="preserve">Kalkulacije </w:t>
      </w:r>
      <w:r>
        <w:t xml:space="preserve">za prašičerejo </w:t>
      </w:r>
      <w:r w:rsidRPr="00A1468F">
        <w:t>so izdelane za dva tipa krmljenja in sicer za krmljenje s popolnimi krmnimi mešanicami (farmski tip) in za kombinirano krmljenje (doma pridelan ječmen in silirano koruzno zrnje, nakup dopolnilnega koncentrata). Zaradi večje primerljivosti je večina tehnoloških izhodišč v obeh modelih enaka. Razlike so le pri tistih parametrih, ki so neposredno povezani s tipom krmljenja. Tako je v modelu s kombiniranim krmljenjem upoštevana nekoliko slabša konverzija krme (zaradi izgub pri krmljenju s siliranim koruznim zrnjem) in slabša produktivnost dela (zaradi dodatnih fa</w:t>
      </w:r>
      <w:r w:rsidR="001645AF">
        <w:t>z dela, povezanih s krmljenjem)</w:t>
      </w:r>
      <w:r w:rsidRPr="00A1468F">
        <w:t xml:space="preserve"> ter višja klavna </w:t>
      </w:r>
      <w:r w:rsidR="001645AF">
        <w:t>masa</w:t>
      </w:r>
      <w:r w:rsidRPr="00A1468F">
        <w:t xml:space="preserve">. </w:t>
      </w:r>
    </w:p>
    <w:p w:rsidR="00B9745B" w:rsidRDefault="00B9745B" w:rsidP="00B061BE">
      <w:pPr>
        <w:pStyle w:val="Telobesedila"/>
        <w:numPr>
          <w:ilvl w:val="2"/>
          <w:numId w:val="22"/>
        </w:numPr>
        <w:tabs>
          <w:tab w:val="clear" w:pos="2140"/>
          <w:tab w:val="num" w:pos="330"/>
        </w:tabs>
        <w:ind w:left="330" w:hanging="330"/>
      </w:pPr>
      <w:r w:rsidRPr="00A1468F">
        <w:t xml:space="preserve">Živali so zavarovane pred nevarnostjo pogina, zakola ali </w:t>
      </w:r>
      <w:proofErr w:type="spellStart"/>
      <w:r w:rsidRPr="00A1468F">
        <w:t>ubitja</w:t>
      </w:r>
      <w:proofErr w:type="spellEnd"/>
      <w:r w:rsidRPr="00A1468F">
        <w:t xml:space="preserve"> v sili, ki vključuje tudi stroške zdravljenja. Premijske stopnje so določene na osnovi podatkov o povprečnih stopnjah v preteklem letu po podatkih zavarovalnice. Zavarovalna vsota je izračunana na osnovi povprečne </w:t>
      </w:r>
      <w:r w:rsidR="00B170B7">
        <w:t>mase</w:t>
      </w:r>
      <w:r w:rsidRPr="00A1468F">
        <w:t xml:space="preserve"> in odkupne cene posamezne vrste živali (tržna vrednost). Kjer zavarovanje ni predvideno, so upoštevane izgube.</w:t>
      </w:r>
    </w:p>
    <w:p w:rsidR="00B9745B" w:rsidRDefault="00B9745B" w:rsidP="00B061BE">
      <w:pPr>
        <w:pStyle w:val="Telobesedila"/>
        <w:numPr>
          <w:ilvl w:val="2"/>
          <w:numId w:val="22"/>
        </w:numPr>
        <w:tabs>
          <w:tab w:val="clear" w:pos="2140"/>
          <w:tab w:val="num" w:pos="330"/>
        </w:tabs>
        <w:ind w:left="330" w:hanging="330"/>
      </w:pPr>
      <w:r w:rsidRPr="00A1468F">
        <w:t>Osnova za amortizacijo zgradb in opreme je ocenjena vrednost stojišča s pripadajočim delom skupnih površin hleva (hodniki, skladišča za krmila, jama za gnojevko ipd.) ter opreme brez silosov in senikov, ki so obračunani pri krmi. Stroški amortizacije so obračunani na glavo v odvisnosti od obdobja, ko zasedajo stojišče.</w:t>
      </w:r>
    </w:p>
    <w:p w:rsidR="00A15859" w:rsidRDefault="00A15859" w:rsidP="00B061BE">
      <w:pPr>
        <w:pStyle w:val="Telobesedila"/>
        <w:numPr>
          <w:ilvl w:val="2"/>
          <w:numId w:val="22"/>
        </w:numPr>
        <w:tabs>
          <w:tab w:val="clear" w:pos="2140"/>
          <w:tab w:val="num" w:pos="330"/>
        </w:tabs>
        <w:ind w:left="330" w:hanging="330"/>
      </w:pPr>
      <w:r w:rsidRPr="00A1468F">
        <w:lastRenderedPageBreak/>
        <w:t xml:space="preserve">Amortizacija </w:t>
      </w:r>
      <w:r>
        <w:t xml:space="preserve">osnovne črede </w:t>
      </w:r>
      <w:r w:rsidRPr="00A1468F">
        <w:t>ni prikazana posebej</w:t>
      </w:r>
      <w:r>
        <w:t>.</w:t>
      </w:r>
      <w:r w:rsidRPr="00A1468F">
        <w:t xml:space="preserve"> </w:t>
      </w:r>
      <w:r>
        <w:t>Pri kravah jo p</w:t>
      </w:r>
      <w:r w:rsidRPr="00A1468F">
        <w:t xml:space="preserve">redstavlja razlika med nabavno vrednostjo plemenske telice (obračunana kot strošek) in vrednostjo izločene krave (obračunana kot stranski pridelek), </w:t>
      </w:r>
      <w:r>
        <w:t xml:space="preserve">pri ovcah pa </w:t>
      </w:r>
      <w:r w:rsidR="001645AF" w:rsidRPr="00A1468F">
        <w:t xml:space="preserve">razlika med stroški </w:t>
      </w:r>
      <w:proofErr w:type="spellStart"/>
      <w:r w:rsidR="001645AF" w:rsidRPr="00A1468F">
        <w:t>zreje</w:t>
      </w:r>
      <w:proofErr w:type="spellEnd"/>
      <w:r w:rsidR="001645AF" w:rsidRPr="00A1468F">
        <w:t xml:space="preserve"> jagnjeta za pleme (vključeni v skupne stroške) in vrednostjo izločene ovce (obračunana kot stranski pridelek)</w:t>
      </w:r>
      <w:r w:rsidR="001645AF">
        <w:t xml:space="preserve"> </w:t>
      </w:r>
      <w:r w:rsidRPr="00A1468F">
        <w:t xml:space="preserve">ob upoštevanju predvidene dobe uporabe </w:t>
      </w:r>
      <w:r w:rsidR="001645AF">
        <w:t>plemenskih živali</w:t>
      </w:r>
      <w:r w:rsidRPr="00A1468F">
        <w:t xml:space="preserve"> (amortizacijska stopnja).</w:t>
      </w:r>
    </w:p>
    <w:p w:rsidR="00B9745B" w:rsidRDefault="00B9745B" w:rsidP="00B061BE">
      <w:pPr>
        <w:pStyle w:val="Telobesedila"/>
        <w:numPr>
          <w:ilvl w:val="2"/>
          <w:numId w:val="22"/>
        </w:numPr>
        <w:tabs>
          <w:tab w:val="clear" w:pos="2140"/>
          <w:tab w:val="num" w:pos="330"/>
        </w:tabs>
        <w:ind w:left="330" w:hanging="330"/>
      </w:pPr>
      <w:r w:rsidRPr="00A1468F">
        <w:t xml:space="preserve">Poraba dela je opredeljena na podlagi normativov ob upoštevanju predpostavljene velikosti črede,  opremljenosti ter strukture krmnega obroka. </w:t>
      </w:r>
    </w:p>
    <w:p w:rsidR="001645AF" w:rsidRDefault="00A15859" w:rsidP="00B061BE">
      <w:pPr>
        <w:pStyle w:val="Telobesedila"/>
        <w:numPr>
          <w:ilvl w:val="2"/>
          <w:numId w:val="22"/>
        </w:numPr>
        <w:tabs>
          <w:tab w:val="clear" w:pos="2140"/>
          <w:tab w:val="num" w:pos="330"/>
        </w:tabs>
        <w:ind w:left="330" w:hanging="330"/>
      </w:pPr>
      <w:r>
        <w:t>V modelih za govedorejo je p</w:t>
      </w:r>
      <w:r w:rsidRPr="00A1468F">
        <w:t>ri izračunu porabe dela upoštevan goveji hlev kot celota. To pomeni, da je za faze dela, ki se opravljajo za celotno čredo (krmljenje, čiščenje in druga dela v hlevu), poraba dela računana za velikost črede, ki pomeni seštevek števila krav in povprečnega števila drugih kategorij govedi (preračunanih na GVŽ). Samo na število krav v hlevu se nanašajo faze, povezane z molžo, samo na število krav in telic (brez pitancev) pa faze, ki so povezane s pašo (pregon na pašo in s paše, dovoz vode na pašnik).</w:t>
      </w:r>
    </w:p>
    <w:p w:rsidR="00B9745B" w:rsidRDefault="00B9745B" w:rsidP="00B061BE">
      <w:pPr>
        <w:pStyle w:val="Telobesedila"/>
        <w:numPr>
          <w:ilvl w:val="2"/>
          <w:numId w:val="22"/>
        </w:numPr>
        <w:tabs>
          <w:tab w:val="clear" w:pos="2140"/>
          <w:tab w:val="num" w:pos="330"/>
        </w:tabs>
        <w:ind w:left="330" w:hanging="330"/>
      </w:pPr>
      <w:r w:rsidRPr="00A1468F">
        <w:t>Organska gnojila kot stranski pridelek v živinoreji so ovrednotena na osnovi količine izkoristljivih hranil, ki jih vsebujejo (odvisno od vrste in oblike organskega gnojila) in cene čistih hranil (izračunane po metodi najmanjših kvadratov na podlagi nabavnih cen različnih vrst mineralnih gnojil), zmanjšane za povprečne dodatne stroške, povezane z raztrosom organskih gnojil.</w:t>
      </w:r>
    </w:p>
    <w:p w:rsidR="00B15426" w:rsidRPr="00F9573D" w:rsidRDefault="00B15426" w:rsidP="00B061BE">
      <w:pPr>
        <w:pStyle w:val="Telobesedila"/>
        <w:numPr>
          <w:ilvl w:val="2"/>
          <w:numId w:val="22"/>
        </w:numPr>
        <w:tabs>
          <w:tab w:val="clear" w:pos="2140"/>
          <w:tab w:val="num" w:pos="330"/>
        </w:tabs>
        <w:ind w:left="330" w:hanging="330"/>
      </w:pPr>
      <w:r w:rsidRPr="00F9573D">
        <w:t>Proračunske podpore (subvencije) so obračunane po načelih</w:t>
      </w:r>
      <w:r w:rsidR="00DA2916" w:rsidRPr="00F9573D">
        <w:t>,</w:t>
      </w:r>
      <w:r w:rsidRPr="00F9573D">
        <w:t xml:space="preserve"> opisanih v splošnih izhodiščih. Pregled vrst in višin proračunskih podpor</w:t>
      </w:r>
      <w:r w:rsidR="00A15859" w:rsidRPr="00F9573D">
        <w:t xml:space="preserve"> za živinorejo</w:t>
      </w:r>
      <w:r w:rsidR="006975E1" w:rsidRPr="00F9573D">
        <w:t>,</w:t>
      </w:r>
      <w:r w:rsidRPr="00F9573D">
        <w:t xml:space="preserve"> upoštevanih v kalkulacijah</w:t>
      </w:r>
      <w:r w:rsidR="006975E1" w:rsidRPr="00F9573D">
        <w:t>,</w:t>
      </w:r>
      <w:r w:rsidRPr="00F9573D">
        <w:t xml:space="preserve"> je prikazan v </w:t>
      </w:r>
      <w:r w:rsidR="00A15859" w:rsidRPr="00F9573D">
        <w:t xml:space="preserve">posebni </w:t>
      </w:r>
      <w:r w:rsidRPr="00F9573D">
        <w:t>preglednici.</w:t>
      </w:r>
      <w:r w:rsidR="003826C8" w:rsidRPr="00F9573D">
        <w:t xml:space="preserve"> Subvencije za izločene plemenske živali (krave, ovce) so upoštevane v enakem deležu kot to velja za stranske proizvode pri teh stroškovnih nosilcih.</w:t>
      </w:r>
    </w:p>
    <w:p w:rsidR="001645AF" w:rsidRDefault="00B15426" w:rsidP="00B061BE">
      <w:pPr>
        <w:pStyle w:val="Telobesedila"/>
        <w:numPr>
          <w:ilvl w:val="2"/>
          <w:numId w:val="22"/>
        </w:numPr>
        <w:tabs>
          <w:tab w:val="clear" w:pos="2140"/>
          <w:tab w:val="num" w:pos="330"/>
        </w:tabs>
        <w:ind w:left="330" w:hanging="330"/>
      </w:pPr>
      <w:r w:rsidRPr="00A1468F">
        <w:t xml:space="preserve">Specifična tehnološka izhodišča, porabljena količina reprodukcijskega materiala ter strojnega in živega dela, so prikazana za vsak </w:t>
      </w:r>
      <w:r w:rsidR="00B170B7">
        <w:t>proizvod</w:t>
      </w:r>
      <w:r w:rsidRPr="00A1468F">
        <w:t xml:space="preserve"> posebej v posamični analitični kalkulacij</w:t>
      </w:r>
      <w:r w:rsidR="006975E1" w:rsidRPr="00A1468F">
        <w:t>i</w:t>
      </w:r>
      <w:r w:rsidRPr="00A1468F">
        <w:t>.</w:t>
      </w:r>
    </w:p>
    <w:p w:rsidR="001645AF" w:rsidRPr="001645AF" w:rsidRDefault="001645AF" w:rsidP="00B061BE">
      <w:pPr>
        <w:pStyle w:val="Telobesedila"/>
        <w:sectPr w:rsidR="001645AF" w:rsidRPr="001645AF" w:rsidSect="004E054D">
          <w:pgSz w:w="11906" w:h="16838"/>
          <w:pgMar w:top="1417" w:right="1417" w:bottom="1417" w:left="1417" w:header="708" w:footer="708" w:gutter="0"/>
          <w:cols w:space="708"/>
          <w:docGrid w:linePitch="360"/>
        </w:sectPr>
      </w:pPr>
    </w:p>
    <w:p w:rsidR="00B15426" w:rsidRPr="002F64C7" w:rsidRDefault="00DD6A94" w:rsidP="002F64C7">
      <w:pPr>
        <w:pStyle w:val="Napis"/>
      </w:pPr>
      <w:r w:rsidRPr="002F64C7">
        <w:lastRenderedPageBreak/>
        <w:t xml:space="preserve">Preglednica </w:t>
      </w:r>
      <w:r w:rsidR="001D561F">
        <w:fldChar w:fldCharType="begin"/>
      </w:r>
      <w:r w:rsidR="001D561F">
        <w:instrText xml:space="preserve"> SEQ Preglednica \* ARABIC </w:instrText>
      </w:r>
      <w:r w:rsidR="001D561F">
        <w:fldChar w:fldCharType="separate"/>
      </w:r>
      <w:r w:rsidR="00795023">
        <w:rPr>
          <w:noProof/>
        </w:rPr>
        <w:t>4</w:t>
      </w:r>
      <w:r w:rsidR="001D561F">
        <w:rPr>
          <w:noProof/>
        </w:rPr>
        <w:fldChar w:fldCharType="end"/>
      </w:r>
      <w:r w:rsidRPr="002F64C7">
        <w:t xml:space="preserve">: </w:t>
      </w:r>
      <w:r w:rsidR="00B15426" w:rsidRPr="002F64C7">
        <w:t xml:space="preserve">Pregled vrst in </w:t>
      </w:r>
      <w:r w:rsidR="006975E1" w:rsidRPr="002F64C7">
        <w:t>v</w:t>
      </w:r>
      <w:r w:rsidR="00B15426" w:rsidRPr="002F64C7">
        <w:t>išin proračunskih podpor</w:t>
      </w:r>
      <w:r w:rsidR="006975E1" w:rsidRPr="002F64C7">
        <w:t>,</w:t>
      </w:r>
      <w:r w:rsidR="00B15426" w:rsidRPr="002F64C7">
        <w:t xml:space="preserve"> upoštevanih v kalkulacijah za živinorejo v obdobju </w:t>
      </w:r>
      <w:r w:rsidR="0045757A" w:rsidRPr="002F64C7">
        <w:t>2000</w:t>
      </w:r>
      <w:r w:rsidR="00B15426" w:rsidRPr="002F64C7">
        <w:t>-2</w:t>
      </w:r>
      <w:r w:rsidR="006975E1" w:rsidRPr="002F64C7">
        <w:t>0</w:t>
      </w:r>
      <w:r w:rsidR="00686B54" w:rsidRPr="002F64C7">
        <w:t>06</w:t>
      </w:r>
      <w:r w:rsidR="00B15426" w:rsidRPr="002F64C7">
        <w:t xml:space="preserve"> </w:t>
      </w:r>
    </w:p>
    <w:tbl>
      <w:tblPr>
        <w:tblW w:w="14630" w:type="dxa"/>
        <w:tblInd w:w="-810" w:type="dxa"/>
        <w:tblLayout w:type="fixed"/>
        <w:tblCellMar>
          <w:left w:w="70" w:type="dxa"/>
          <w:right w:w="70" w:type="dxa"/>
        </w:tblCellMar>
        <w:tblLook w:val="0000" w:firstRow="0" w:lastRow="0" w:firstColumn="0" w:lastColumn="0" w:noHBand="0" w:noVBand="0"/>
      </w:tblPr>
      <w:tblGrid>
        <w:gridCol w:w="6125"/>
        <w:gridCol w:w="1134"/>
        <w:gridCol w:w="1053"/>
        <w:gridCol w:w="1053"/>
        <w:gridCol w:w="1053"/>
        <w:gridCol w:w="1053"/>
        <w:gridCol w:w="1053"/>
        <w:gridCol w:w="1053"/>
        <w:gridCol w:w="1053"/>
      </w:tblGrid>
      <w:tr w:rsidR="00686B54" w:rsidRPr="009A5DAF" w:rsidTr="00686B54">
        <w:trPr>
          <w:trHeight w:val="227"/>
        </w:trPr>
        <w:tc>
          <w:tcPr>
            <w:tcW w:w="6125"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686B3A">
            <w:pPr>
              <w:jc w:val="left"/>
              <w:rPr>
                <w:rFonts w:ascii="Verdana" w:hAnsi="Verdana" w:cs="Arial"/>
                <w:b/>
                <w:sz w:val="16"/>
                <w:szCs w:val="16"/>
              </w:rPr>
            </w:pPr>
            <w:r w:rsidRPr="009A5DAF">
              <w:rPr>
                <w:rFonts w:ascii="Verdana" w:hAnsi="Verdana" w:cs="Arial"/>
                <w:b/>
                <w:sz w:val="16"/>
                <w:szCs w:val="16"/>
              </w:rPr>
              <w:t> </w:t>
            </w:r>
          </w:p>
        </w:tc>
        <w:tc>
          <w:tcPr>
            <w:tcW w:w="1134"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686B3A">
            <w:pPr>
              <w:jc w:val="left"/>
              <w:rPr>
                <w:rFonts w:ascii="Verdana" w:hAnsi="Verdana" w:cs="Arial"/>
                <w:b/>
                <w:sz w:val="16"/>
                <w:szCs w:val="16"/>
              </w:rPr>
            </w:pPr>
            <w:r w:rsidRPr="009A5DAF">
              <w:rPr>
                <w:rFonts w:ascii="Verdana" w:hAnsi="Verdana" w:cs="Arial"/>
                <w:b/>
                <w:sz w:val="16"/>
                <w:szCs w:val="16"/>
              </w:rPr>
              <w:t>Enota</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2000</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2001</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2002</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2003</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2004</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2005</w:t>
            </w:r>
          </w:p>
        </w:tc>
        <w:tc>
          <w:tcPr>
            <w:tcW w:w="1053" w:type="dxa"/>
            <w:tcBorders>
              <w:top w:val="single" w:sz="8" w:space="0" w:color="auto"/>
              <w:left w:val="single" w:sz="2" w:space="0" w:color="auto"/>
              <w:bottom w:val="single" w:sz="4" w:space="0" w:color="auto"/>
              <w:right w:val="single" w:sz="2" w:space="0" w:color="auto"/>
            </w:tcBorders>
            <w:shd w:val="clear" w:color="auto" w:fill="auto"/>
            <w:noWrap/>
            <w:vAlign w:val="center"/>
          </w:tcPr>
          <w:p w:rsidR="00686B54" w:rsidRPr="009A5DAF" w:rsidRDefault="00686B54" w:rsidP="00D26252">
            <w:pPr>
              <w:jc w:val="right"/>
              <w:rPr>
                <w:rFonts w:ascii="Verdana" w:hAnsi="Verdana" w:cs="Arial"/>
                <w:b/>
                <w:sz w:val="16"/>
                <w:szCs w:val="16"/>
              </w:rPr>
            </w:pPr>
            <w:r w:rsidRPr="009A5DAF">
              <w:rPr>
                <w:rFonts w:ascii="Verdana" w:hAnsi="Verdana" w:cs="Arial"/>
                <w:b/>
                <w:sz w:val="16"/>
                <w:szCs w:val="16"/>
              </w:rPr>
              <w:t>2006</w:t>
            </w:r>
          </w:p>
        </w:tc>
      </w:tr>
      <w:tr w:rsidR="00686B54" w:rsidRPr="00365846" w:rsidTr="00686B54">
        <w:trPr>
          <w:trHeight w:val="227"/>
        </w:trPr>
        <w:tc>
          <w:tcPr>
            <w:tcW w:w="6125"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686B3A">
            <w:pPr>
              <w:jc w:val="left"/>
              <w:rPr>
                <w:rFonts w:ascii="Verdana" w:hAnsi="Verdana" w:cs="Arial"/>
                <w:sz w:val="16"/>
                <w:szCs w:val="16"/>
              </w:rPr>
            </w:pPr>
            <w:r>
              <w:rPr>
                <w:rFonts w:ascii="Verdana" w:hAnsi="Verdana" w:cs="Arial"/>
                <w:sz w:val="16"/>
                <w:szCs w:val="16"/>
              </w:rPr>
              <w:t>MLEKO</w:t>
            </w:r>
          </w:p>
        </w:tc>
        <w:tc>
          <w:tcPr>
            <w:tcW w:w="1134"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686B3A">
            <w:pPr>
              <w:jc w:val="lef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c>
          <w:tcPr>
            <w:tcW w:w="1053" w:type="dxa"/>
            <w:tcBorders>
              <w:top w:val="single" w:sz="4" w:space="0" w:color="auto"/>
              <w:left w:val="single" w:sz="2" w:space="0" w:color="auto"/>
              <w:bottom w:val="single" w:sz="2" w:space="0" w:color="auto"/>
              <w:right w:val="single" w:sz="2" w:space="0" w:color="auto"/>
            </w:tcBorders>
            <w:shd w:val="clear" w:color="auto" w:fill="C0C0C0"/>
            <w:noWrap/>
            <w:vAlign w:val="center"/>
          </w:tcPr>
          <w:p w:rsidR="00686B54" w:rsidRPr="00365846" w:rsidRDefault="00686B54" w:rsidP="00D26252">
            <w:pPr>
              <w:jc w:val="right"/>
              <w:rPr>
                <w:rFonts w:ascii="Verdana" w:hAnsi="Verdana" w:cs="Arial"/>
                <w:sz w:val="16"/>
                <w:szCs w:val="16"/>
              </w:rPr>
            </w:pPr>
            <w:r w:rsidRPr="00365846">
              <w:rPr>
                <w:rFonts w:ascii="Verdana" w:hAnsi="Verdana" w:cs="Arial"/>
                <w:sz w:val="16"/>
                <w:szCs w:val="16"/>
              </w:rPr>
              <w:t> </w:t>
            </w:r>
          </w:p>
        </w:tc>
      </w:tr>
      <w:tr w:rsidR="009B4330" w:rsidRPr="00365846" w:rsidTr="00EC4F85">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9A5DAF" w:rsidRDefault="009B4330" w:rsidP="00686B54">
            <w:pPr>
              <w:jc w:val="left"/>
              <w:rPr>
                <w:rFonts w:ascii="Verdana" w:hAnsi="Verdana" w:cs="Arial"/>
                <w:sz w:val="16"/>
                <w:szCs w:val="16"/>
              </w:rPr>
            </w:pPr>
            <w:r>
              <w:rPr>
                <w:rFonts w:ascii="Verdana" w:hAnsi="Verdana" w:cs="Arial"/>
                <w:sz w:val="16"/>
                <w:szCs w:val="16"/>
              </w:rPr>
              <w:t>Premija in dodatno plačilo za mleko (tržno leto)</w:t>
            </w:r>
            <w:r>
              <w:rPr>
                <w:rStyle w:val="Sprotnaopomba-sklic"/>
                <w:rFonts w:ascii="Verdana" w:hAnsi="Verdana" w:cs="Arial"/>
                <w:sz w:val="16"/>
                <w:szCs w:val="16"/>
              </w:rPr>
              <w:footnoteReference w:id="10"/>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l</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pPr>
              <w:jc w:val="right"/>
              <w:rPr>
                <w:rFonts w:ascii="Verdana" w:hAnsi="Verdana"/>
                <w:sz w:val="16"/>
                <w:szCs w:val="16"/>
              </w:rPr>
            </w:pPr>
            <w:r>
              <w:rPr>
                <w:rFonts w:ascii="Verdana" w:hAnsi="Verdana"/>
                <w:sz w:val="16"/>
                <w:szCs w:val="16"/>
              </w:rPr>
              <w:t>0,0106</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pPr>
              <w:jc w:val="right"/>
              <w:rPr>
                <w:rFonts w:ascii="Verdana" w:hAnsi="Verdana"/>
                <w:sz w:val="16"/>
                <w:szCs w:val="16"/>
              </w:rPr>
            </w:pPr>
            <w:r>
              <w:rPr>
                <w:rFonts w:ascii="Verdana" w:hAnsi="Verdana"/>
                <w:sz w:val="16"/>
                <w:szCs w:val="16"/>
              </w:rPr>
              <w:t>0,0223</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pPr>
              <w:jc w:val="right"/>
              <w:rPr>
                <w:rFonts w:ascii="Verdana" w:hAnsi="Verdana"/>
                <w:sz w:val="16"/>
                <w:szCs w:val="16"/>
              </w:rPr>
            </w:pPr>
            <w:r>
              <w:rPr>
                <w:rFonts w:ascii="Verdana" w:hAnsi="Verdana"/>
                <w:sz w:val="16"/>
                <w:szCs w:val="16"/>
              </w:rPr>
              <w:t>0,0352</w:t>
            </w:r>
          </w:p>
        </w:tc>
      </w:tr>
      <w:tr w:rsidR="009B4330" w:rsidRPr="00365846" w:rsidTr="00EC4F85">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rsidP="00686B54">
            <w:pPr>
              <w:jc w:val="left"/>
              <w:rPr>
                <w:rFonts w:ascii="Verdana" w:hAnsi="Verdana" w:cs="Arial"/>
                <w:sz w:val="16"/>
                <w:szCs w:val="16"/>
              </w:rPr>
            </w:pPr>
            <w:r>
              <w:rPr>
                <w:rFonts w:ascii="Verdana" w:hAnsi="Verdana" w:cs="Arial"/>
                <w:sz w:val="16"/>
                <w:szCs w:val="16"/>
              </w:rPr>
              <w:t>Plačila za mleko skupaj (koledarsko leto)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l</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pPr>
              <w:jc w:val="right"/>
              <w:rPr>
                <w:rFonts w:ascii="Verdana" w:hAnsi="Verdana"/>
                <w:sz w:val="16"/>
                <w:szCs w:val="16"/>
              </w:rPr>
            </w:pPr>
            <w:r>
              <w:rPr>
                <w:rFonts w:ascii="Verdana" w:hAnsi="Verdana"/>
                <w:sz w:val="16"/>
                <w:szCs w:val="16"/>
              </w:rPr>
              <w:t>0,0079</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pPr>
              <w:jc w:val="right"/>
              <w:rPr>
                <w:rFonts w:ascii="Verdana" w:hAnsi="Verdana"/>
                <w:sz w:val="16"/>
                <w:szCs w:val="16"/>
              </w:rPr>
            </w:pPr>
            <w:r>
              <w:rPr>
                <w:rFonts w:ascii="Verdana" w:hAnsi="Verdana"/>
                <w:sz w:val="16"/>
                <w:szCs w:val="16"/>
              </w:rPr>
              <w:t>0,0194</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pPr>
              <w:jc w:val="right"/>
              <w:rPr>
                <w:rFonts w:ascii="Verdana" w:hAnsi="Verdana"/>
                <w:sz w:val="16"/>
                <w:szCs w:val="16"/>
              </w:rPr>
            </w:pPr>
            <w:r>
              <w:rPr>
                <w:rFonts w:ascii="Verdana" w:hAnsi="Verdana"/>
                <w:sz w:val="16"/>
                <w:szCs w:val="16"/>
              </w:rPr>
              <w:t>0,0320</w:t>
            </w:r>
          </w:p>
        </w:tc>
      </w:tr>
      <w:tr w:rsidR="009B4330" w:rsidRPr="00365846" w:rsidTr="00EC4F85">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686B54">
            <w:pPr>
              <w:jc w:val="left"/>
              <w:rPr>
                <w:rFonts w:ascii="Verdana" w:hAnsi="Verdana" w:cs="Arial"/>
                <w:sz w:val="16"/>
                <w:szCs w:val="16"/>
              </w:rPr>
            </w:pPr>
            <w:r>
              <w:rPr>
                <w:rFonts w:ascii="Verdana" w:hAnsi="Verdana" w:cs="Arial"/>
                <w:sz w:val="16"/>
                <w:szCs w:val="16"/>
              </w:rPr>
              <w:t xml:space="preserve">Klavna premija in dodatno plačilo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glavo</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59,68</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80,87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90,07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94,23</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99,27</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Pr>
                <w:rFonts w:ascii="Verdana" w:hAnsi="Verdana" w:cs="Arial"/>
                <w:sz w:val="16"/>
                <w:szCs w:val="16"/>
              </w:rPr>
              <w:t>PITANO GOVEDO</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686B3A">
            <w:pPr>
              <w:jc w:val="left"/>
              <w:rPr>
                <w:rFonts w:ascii="Verdana" w:hAnsi="Verdana" w:cs="Arial"/>
                <w:sz w:val="16"/>
                <w:szCs w:val="16"/>
              </w:rPr>
            </w:pPr>
            <w:r>
              <w:rPr>
                <w:rFonts w:ascii="Verdana" w:hAnsi="Verdana" w:cs="Arial"/>
                <w:sz w:val="16"/>
                <w:szCs w:val="16"/>
              </w:rPr>
              <w:t>Posebna premija za bike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glavo</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87,79</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115,11</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154,71</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154,04</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177,21</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188,02</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198,52</w:t>
            </w:r>
          </w:p>
        </w:tc>
      </w:tr>
      <w:tr w:rsidR="009B4330" w:rsidRPr="00365846" w:rsidTr="00EC4F85">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rsidP="00686B3A">
            <w:pPr>
              <w:jc w:val="left"/>
              <w:rPr>
                <w:rFonts w:ascii="Verdana" w:hAnsi="Verdana" w:cs="Arial"/>
                <w:sz w:val="16"/>
                <w:szCs w:val="16"/>
              </w:rPr>
            </w:pPr>
            <w:r>
              <w:rPr>
                <w:rFonts w:ascii="Verdana" w:hAnsi="Verdana" w:cs="Arial"/>
                <w:sz w:val="16"/>
                <w:szCs w:val="16"/>
              </w:rPr>
              <w:t>Premija za klavne telice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glavo</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115,11</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Pr>
                <w:rFonts w:ascii="Verdana" w:hAnsi="Verdana" w:cs="Arial"/>
                <w:sz w:val="16"/>
                <w:szCs w:val="16"/>
              </w:rPr>
              <w:t>-</w:t>
            </w:r>
          </w:p>
        </w:tc>
      </w:tr>
      <w:tr w:rsidR="009B4330" w:rsidRPr="00365846" w:rsidTr="00EC4F85">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Default="009B4330" w:rsidP="00686B3A">
            <w:pPr>
              <w:jc w:val="left"/>
              <w:rPr>
                <w:rFonts w:ascii="Verdana" w:hAnsi="Verdana" w:cs="Arial"/>
                <w:sz w:val="16"/>
                <w:szCs w:val="16"/>
              </w:rPr>
            </w:pPr>
            <w:r>
              <w:rPr>
                <w:rFonts w:ascii="Verdana" w:hAnsi="Verdana" w:cs="Arial"/>
                <w:sz w:val="16"/>
                <w:szCs w:val="16"/>
              </w:rPr>
              <w:t>Klavna premija in dodatno plačilo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glavo</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59,68</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80,87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90,07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94,23</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99,27</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O</w:t>
            </w:r>
            <w:r>
              <w:rPr>
                <w:rFonts w:ascii="Verdana" w:hAnsi="Verdana" w:cs="Arial"/>
                <w:sz w:val="16"/>
                <w:szCs w:val="16"/>
              </w:rPr>
              <w:t>VCE</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686B3A">
            <w:pPr>
              <w:jc w:val="left"/>
              <w:rPr>
                <w:rFonts w:ascii="Verdana" w:hAnsi="Verdana" w:cs="Arial"/>
                <w:sz w:val="16"/>
                <w:szCs w:val="16"/>
              </w:rPr>
            </w:pPr>
            <w:r>
              <w:rPr>
                <w:rFonts w:ascii="Verdana" w:hAnsi="Verdana" w:cs="Arial"/>
                <w:sz w:val="16"/>
                <w:szCs w:val="16"/>
              </w:rPr>
              <w:t>Premije in dodatna plačila</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glavo</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12,19</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15,65</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15,47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21,27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24,82</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26,00</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27,45</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Pr>
                <w:rFonts w:ascii="Verdana" w:hAnsi="Verdana" w:cs="Arial"/>
                <w:sz w:val="16"/>
                <w:szCs w:val="16"/>
              </w:rPr>
              <w:t>PRAŠIČI</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r>
      <w:tr w:rsidR="009B4330" w:rsidRPr="00365846" w:rsidTr="00EC4F85">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686B3A">
            <w:pPr>
              <w:jc w:val="left"/>
              <w:rPr>
                <w:rFonts w:ascii="Verdana" w:hAnsi="Verdana" w:cs="Arial"/>
                <w:sz w:val="16"/>
                <w:szCs w:val="16"/>
              </w:rPr>
            </w:pPr>
            <w:r>
              <w:rPr>
                <w:rFonts w:ascii="Verdana" w:hAnsi="Verdana" w:cs="Arial"/>
                <w:sz w:val="16"/>
                <w:szCs w:val="16"/>
              </w:rPr>
              <w:t>Kompenzacijsko plačilo</w:t>
            </w:r>
            <w:r>
              <w:rPr>
                <w:rStyle w:val="Sprotnaopomba-sklic"/>
                <w:rFonts w:ascii="Verdana" w:hAnsi="Verdana" w:cs="Arial"/>
                <w:sz w:val="16"/>
                <w:szCs w:val="16"/>
              </w:rPr>
              <w:footnoteReference w:id="11"/>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glavo</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AB0BBE" w:rsidRDefault="009B4330" w:rsidP="00D26252">
            <w:pPr>
              <w:jc w:val="right"/>
              <w:rPr>
                <w:rFonts w:ascii="Verdana" w:hAnsi="Verdana" w:cs="Arial"/>
                <w:sz w:val="16"/>
                <w:szCs w:val="16"/>
              </w:rPr>
            </w:pPr>
            <w:r w:rsidRPr="00AB0BBE">
              <w:rPr>
                <w:rFonts w:ascii="Verdana" w:hAnsi="Verdana" w:cs="Arial"/>
                <w:sz w:val="16"/>
                <w:szCs w:val="16"/>
              </w:rPr>
              <w:t>12,34</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bottom"/>
          </w:tcPr>
          <w:p w:rsidR="009B4330" w:rsidRPr="00365846" w:rsidRDefault="009B4330" w:rsidP="00EC4F85">
            <w:pPr>
              <w:jc w:val="right"/>
              <w:rPr>
                <w:rFonts w:ascii="Verdana" w:hAnsi="Verdana" w:cs="Arial"/>
                <w:sz w:val="16"/>
                <w:szCs w:val="16"/>
              </w:rPr>
            </w:pPr>
            <w:r>
              <w:rPr>
                <w:rFonts w:ascii="Verdana" w:hAnsi="Verdana" w:cs="Arial"/>
                <w:sz w:val="16"/>
                <w:szCs w:val="16"/>
              </w:rPr>
              <w:t>-</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VS</w:t>
            </w:r>
            <w:r>
              <w:rPr>
                <w:rFonts w:ascii="Verdana" w:hAnsi="Verdana" w:cs="Arial"/>
                <w:sz w:val="16"/>
                <w:szCs w:val="16"/>
              </w:rPr>
              <w:t>I</w:t>
            </w:r>
            <w:r w:rsidRPr="00365846">
              <w:rPr>
                <w:rFonts w:ascii="Verdana" w:hAnsi="Verdana" w:cs="Arial"/>
                <w:sz w:val="16"/>
                <w:szCs w:val="16"/>
              </w:rPr>
              <w:t xml:space="preserve"> </w:t>
            </w:r>
            <w:r>
              <w:rPr>
                <w:rFonts w:ascii="Verdana" w:hAnsi="Verdana" w:cs="Arial"/>
                <w:sz w:val="16"/>
                <w:szCs w:val="16"/>
              </w:rPr>
              <w:t>PROIZVODI</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c>
          <w:tcPr>
            <w:tcW w:w="1053" w:type="dxa"/>
            <w:tcBorders>
              <w:top w:val="single" w:sz="2" w:space="0" w:color="auto"/>
              <w:left w:val="single" w:sz="2" w:space="0" w:color="auto"/>
              <w:bottom w:val="single" w:sz="2" w:space="0" w:color="auto"/>
              <w:right w:val="single" w:sz="2" w:space="0" w:color="auto"/>
            </w:tcBorders>
            <w:shd w:val="clear" w:color="auto" w:fill="C0C0C0"/>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 </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Pr>
                <w:rFonts w:ascii="Verdana" w:hAnsi="Verdana" w:cs="Arial"/>
                <w:sz w:val="16"/>
                <w:szCs w:val="16"/>
              </w:rPr>
              <w:t>P</w:t>
            </w:r>
            <w:r w:rsidRPr="00365846">
              <w:rPr>
                <w:rFonts w:ascii="Verdana" w:hAnsi="Verdana" w:cs="Arial"/>
                <w:sz w:val="16"/>
                <w:szCs w:val="16"/>
              </w:rPr>
              <w:t>lačil</w:t>
            </w:r>
            <w:r>
              <w:rPr>
                <w:rFonts w:ascii="Verdana" w:hAnsi="Verdana" w:cs="Arial"/>
                <w:sz w:val="16"/>
                <w:szCs w:val="16"/>
              </w:rPr>
              <w:t>a za poljščine</w:t>
            </w:r>
            <w:r>
              <w:rPr>
                <w:rStyle w:val="Sprotnaopomba-sklic"/>
                <w:rFonts w:ascii="Verdana" w:hAnsi="Verdana" w:cs="Arial"/>
                <w:sz w:val="16"/>
                <w:szCs w:val="16"/>
              </w:rPr>
              <w:footnoteReference w:id="12"/>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D876B7">
            <w:pPr>
              <w:jc w:val="left"/>
              <w:rPr>
                <w:rFonts w:ascii="Verdana" w:hAnsi="Verdana" w:cs="Arial"/>
                <w:sz w:val="16"/>
                <w:szCs w:val="16"/>
              </w:rPr>
            </w:pPr>
            <w:r w:rsidRPr="00365846">
              <w:rPr>
                <w:rFonts w:ascii="Verdana" w:hAnsi="Verdana" w:cs="Arial"/>
                <w:sz w:val="16"/>
                <w:szCs w:val="16"/>
              </w:rPr>
              <w:t>EUR/ha</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131,7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138,1</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185,7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246,0</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281,6</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297,7</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314,3</w:t>
            </w:r>
          </w:p>
        </w:tc>
      </w:tr>
      <w:tr w:rsidR="009B4330" w:rsidRPr="00365846" w:rsidTr="00686B54">
        <w:trPr>
          <w:trHeight w:val="227"/>
        </w:trPr>
        <w:tc>
          <w:tcPr>
            <w:tcW w:w="6125"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Vračilo trošarine</w:t>
            </w:r>
            <w:r>
              <w:rPr>
                <w:rStyle w:val="Sprotnaopomba-sklic"/>
                <w:rFonts w:ascii="Verdana" w:hAnsi="Verdana" w:cs="Arial"/>
                <w:sz w:val="16"/>
                <w:szCs w:val="16"/>
              </w:rPr>
              <w:footnoteReference w:id="13"/>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365846" w:rsidRDefault="009B4330" w:rsidP="00686B3A">
            <w:pPr>
              <w:jc w:val="left"/>
              <w:rPr>
                <w:rFonts w:ascii="Verdana" w:hAnsi="Verdana" w:cs="Arial"/>
                <w:sz w:val="16"/>
                <w:szCs w:val="16"/>
              </w:rPr>
            </w:pPr>
            <w:r w:rsidRPr="00365846">
              <w:rPr>
                <w:rFonts w:ascii="Verdana" w:hAnsi="Verdana" w:cs="Arial"/>
                <w:sz w:val="16"/>
                <w:szCs w:val="16"/>
              </w:rPr>
              <w:t>EUR/l</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Pr>
                <w:rFonts w:ascii="Verdana" w:hAnsi="Verdana" w:cs="Arial"/>
                <w:sz w:val="16"/>
                <w:szCs w:val="16"/>
              </w:rPr>
              <w:t>-</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0,142</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0,140</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0,151</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0,154</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0,156</w:t>
            </w:r>
          </w:p>
        </w:tc>
        <w:tc>
          <w:tcPr>
            <w:tcW w:w="1053" w:type="dxa"/>
            <w:tcBorders>
              <w:top w:val="single" w:sz="2" w:space="0" w:color="auto"/>
              <w:left w:val="single" w:sz="2" w:space="0" w:color="auto"/>
              <w:bottom w:val="single" w:sz="2" w:space="0" w:color="auto"/>
              <w:right w:val="single" w:sz="2" w:space="0" w:color="auto"/>
            </w:tcBorders>
            <w:shd w:val="clear" w:color="auto" w:fill="auto"/>
            <w:noWrap/>
            <w:vAlign w:val="center"/>
          </w:tcPr>
          <w:p w:rsidR="009B4330" w:rsidRPr="00D26252" w:rsidRDefault="009B4330" w:rsidP="00D26252">
            <w:pPr>
              <w:jc w:val="right"/>
              <w:rPr>
                <w:rFonts w:ascii="Verdana" w:hAnsi="Verdana" w:cs="Arial"/>
                <w:sz w:val="16"/>
                <w:szCs w:val="16"/>
              </w:rPr>
            </w:pPr>
            <w:r w:rsidRPr="00D26252">
              <w:rPr>
                <w:rFonts w:ascii="Verdana" w:hAnsi="Verdana" w:cs="Arial"/>
                <w:sz w:val="16"/>
                <w:szCs w:val="16"/>
              </w:rPr>
              <w:t>0,154</w:t>
            </w:r>
          </w:p>
        </w:tc>
      </w:tr>
    </w:tbl>
    <w:p w:rsidR="00DD3141" w:rsidRDefault="00DD3141" w:rsidP="00E67094">
      <w:pPr>
        <w:spacing w:before="120"/>
        <w:ind w:left="-329"/>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686B54" w:rsidRDefault="00686B54"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F81EB6" w:rsidRDefault="00F81EB6" w:rsidP="00686B54">
      <w:pPr>
        <w:rPr>
          <w:rFonts w:ascii="Verdana" w:hAnsi="Verdana" w:cs="Arial"/>
          <w:sz w:val="16"/>
          <w:szCs w:val="16"/>
        </w:rPr>
      </w:pPr>
    </w:p>
    <w:p w:rsidR="00686B54" w:rsidRDefault="00686B54" w:rsidP="00686B54">
      <w:pPr>
        <w:rPr>
          <w:rFonts w:ascii="Verdana" w:hAnsi="Verdana" w:cs="Arial"/>
          <w:sz w:val="16"/>
          <w:szCs w:val="16"/>
        </w:rPr>
      </w:pPr>
    </w:p>
    <w:p w:rsidR="00686B54" w:rsidRPr="00365846" w:rsidRDefault="00787EC9" w:rsidP="00787EC9">
      <w:pPr>
        <w:pStyle w:val="Napis"/>
        <w:ind w:left="0" w:firstLine="0"/>
        <w:rPr>
          <w:rFonts w:cs="Arial"/>
          <w:sz w:val="16"/>
          <w:szCs w:val="16"/>
        </w:rPr>
      </w:pPr>
      <w:r>
        <w:lastRenderedPageBreak/>
        <w:t>P</w:t>
      </w:r>
      <w:r w:rsidR="002F64C7">
        <w:t xml:space="preserve">reglednica </w:t>
      </w:r>
      <w:r w:rsidR="001D561F">
        <w:fldChar w:fldCharType="begin"/>
      </w:r>
      <w:r w:rsidR="001D561F">
        <w:instrText xml:space="preserve"> SEQ Preglednica \* ARABIC </w:instrText>
      </w:r>
      <w:r w:rsidR="001D561F">
        <w:fldChar w:fldCharType="separate"/>
      </w:r>
      <w:r w:rsidR="00795023">
        <w:rPr>
          <w:noProof/>
        </w:rPr>
        <w:t>5</w:t>
      </w:r>
      <w:r w:rsidR="001D561F">
        <w:rPr>
          <w:noProof/>
        </w:rPr>
        <w:fldChar w:fldCharType="end"/>
      </w:r>
      <w:r w:rsidR="002F64C7">
        <w:t xml:space="preserve">: </w:t>
      </w:r>
      <w:r w:rsidR="00686B54" w:rsidRPr="00365846">
        <w:t xml:space="preserve">Pregled vrst in višin proračunskih podpor, upoštevanih v kalkulacijah za živinorejo v obdobju </w:t>
      </w:r>
      <w:r w:rsidR="00686B54">
        <w:t>2007</w:t>
      </w:r>
      <w:r w:rsidR="00686B54" w:rsidRPr="00365846">
        <w:t>-20</w:t>
      </w:r>
      <w:r w:rsidR="00686B54">
        <w:t>1</w:t>
      </w:r>
      <w:r w:rsidR="004D3D5A">
        <w:t>6</w:t>
      </w:r>
      <w:r w:rsidR="00686B54" w:rsidRPr="00365846">
        <w:rPr>
          <w:rFonts w:cs="Arial"/>
          <w:sz w:val="16"/>
          <w:szCs w:val="16"/>
        </w:rPr>
        <w:t xml:space="preserve"> </w:t>
      </w:r>
    </w:p>
    <w:tbl>
      <w:tblPr>
        <w:tblW w:w="14914" w:type="dxa"/>
        <w:tblInd w:w="-810" w:type="dxa"/>
        <w:tblLayout w:type="fixed"/>
        <w:tblCellMar>
          <w:left w:w="70" w:type="dxa"/>
          <w:right w:w="70" w:type="dxa"/>
        </w:tblCellMar>
        <w:tblLook w:val="0000" w:firstRow="0" w:lastRow="0" w:firstColumn="0" w:lastColumn="0" w:noHBand="0" w:noVBand="0"/>
      </w:tblPr>
      <w:tblGrid>
        <w:gridCol w:w="4566"/>
        <w:gridCol w:w="1134"/>
        <w:gridCol w:w="822"/>
        <w:gridCol w:w="822"/>
        <w:gridCol w:w="822"/>
        <w:gridCol w:w="822"/>
        <w:gridCol w:w="822"/>
        <w:gridCol w:w="822"/>
        <w:gridCol w:w="822"/>
        <w:gridCol w:w="822"/>
        <w:gridCol w:w="822"/>
        <w:gridCol w:w="823"/>
        <w:gridCol w:w="993"/>
      </w:tblGrid>
      <w:tr w:rsidR="00AB7A05" w:rsidRPr="009A5DAF" w:rsidTr="002D2D82">
        <w:trPr>
          <w:trHeight w:val="227"/>
          <w:tblHeader/>
        </w:trPr>
        <w:tc>
          <w:tcPr>
            <w:tcW w:w="4566" w:type="dxa"/>
            <w:tcBorders>
              <w:top w:val="single" w:sz="8" w:space="0" w:color="auto"/>
              <w:left w:val="single" w:sz="2" w:space="0" w:color="auto"/>
              <w:bottom w:val="single" w:sz="4" w:space="0" w:color="auto"/>
              <w:right w:val="single" w:sz="2" w:space="0" w:color="auto"/>
            </w:tcBorders>
            <w:shd w:val="clear" w:color="auto" w:fill="auto"/>
            <w:noWrap/>
            <w:vAlign w:val="bottom"/>
          </w:tcPr>
          <w:p w:rsidR="00AB7A05" w:rsidRPr="009A5DAF" w:rsidRDefault="00AB7A05" w:rsidP="004A01B2">
            <w:pPr>
              <w:jc w:val="left"/>
              <w:rPr>
                <w:rFonts w:ascii="Verdana" w:hAnsi="Verdana" w:cs="Arial"/>
                <w:b/>
                <w:sz w:val="16"/>
                <w:szCs w:val="16"/>
              </w:rPr>
            </w:pPr>
            <w:r w:rsidRPr="009A5DAF">
              <w:rPr>
                <w:rFonts w:ascii="Verdana" w:hAnsi="Verdana" w:cs="Arial"/>
                <w:b/>
                <w:sz w:val="16"/>
                <w:szCs w:val="16"/>
              </w:rPr>
              <w:t> </w:t>
            </w:r>
          </w:p>
        </w:tc>
        <w:tc>
          <w:tcPr>
            <w:tcW w:w="1134" w:type="dxa"/>
            <w:tcBorders>
              <w:top w:val="single" w:sz="8" w:space="0" w:color="auto"/>
              <w:left w:val="single" w:sz="2" w:space="0" w:color="auto"/>
              <w:bottom w:val="single" w:sz="4" w:space="0" w:color="auto"/>
              <w:right w:val="single" w:sz="2" w:space="0" w:color="auto"/>
            </w:tcBorders>
            <w:shd w:val="clear" w:color="auto" w:fill="auto"/>
            <w:noWrap/>
            <w:vAlign w:val="bottom"/>
          </w:tcPr>
          <w:p w:rsidR="00AB7A05" w:rsidRPr="009A5DAF" w:rsidRDefault="00AB7A05" w:rsidP="004A01B2">
            <w:pPr>
              <w:jc w:val="left"/>
              <w:rPr>
                <w:rFonts w:ascii="Verdana" w:hAnsi="Verdana" w:cs="Arial"/>
                <w:b/>
                <w:sz w:val="16"/>
                <w:szCs w:val="16"/>
              </w:rPr>
            </w:pPr>
            <w:r w:rsidRPr="009A5DAF">
              <w:rPr>
                <w:rFonts w:ascii="Verdana" w:hAnsi="Verdana" w:cs="Arial"/>
                <w:b/>
                <w:sz w:val="16"/>
                <w:szCs w:val="16"/>
              </w:rPr>
              <w:t>Enota</w:t>
            </w:r>
          </w:p>
        </w:tc>
        <w:tc>
          <w:tcPr>
            <w:tcW w:w="822" w:type="dxa"/>
            <w:tcBorders>
              <w:top w:val="single" w:sz="8" w:space="0" w:color="auto"/>
              <w:left w:val="single" w:sz="2" w:space="0" w:color="auto"/>
              <w:bottom w:val="single" w:sz="4" w:space="0" w:color="auto"/>
              <w:right w:val="single" w:sz="2" w:space="0" w:color="auto"/>
            </w:tcBorders>
            <w:shd w:val="clear" w:color="auto" w:fill="auto"/>
            <w:noWrap/>
            <w:vAlign w:val="bottom"/>
          </w:tcPr>
          <w:p w:rsidR="00AB7A05" w:rsidRPr="009A5DAF" w:rsidRDefault="00AB7A05" w:rsidP="004A01B2">
            <w:pPr>
              <w:jc w:val="right"/>
              <w:rPr>
                <w:rFonts w:ascii="Verdana" w:hAnsi="Verdana" w:cs="Arial"/>
                <w:b/>
                <w:sz w:val="16"/>
                <w:szCs w:val="16"/>
              </w:rPr>
            </w:pPr>
            <w:r w:rsidRPr="009A5DAF">
              <w:rPr>
                <w:rFonts w:ascii="Verdana" w:hAnsi="Verdana" w:cs="Arial"/>
                <w:b/>
                <w:sz w:val="16"/>
                <w:szCs w:val="16"/>
              </w:rPr>
              <w:t>2007</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4A01B2">
            <w:pPr>
              <w:jc w:val="right"/>
              <w:rPr>
                <w:rFonts w:ascii="Verdana" w:hAnsi="Verdana" w:cs="Arial"/>
                <w:b/>
                <w:sz w:val="16"/>
                <w:szCs w:val="16"/>
              </w:rPr>
            </w:pPr>
            <w:r w:rsidRPr="009A5DAF">
              <w:rPr>
                <w:rFonts w:ascii="Verdana" w:hAnsi="Verdana" w:cs="Arial"/>
                <w:b/>
                <w:sz w:val="16"/>
                <w:szCs w:val="16"/>
              </w:rPr>
              <w:t>2008</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4A01B2">
            <w:pPr>
              <w:jc w:val="right"/>
              <w:rPr>
                <w:rFonts w:ascii="Verdana" w:hAnsi="Verdana" w:cs="Arial"/>
                <w:b/>
                <w:sz w:val="16"/>
                <w:szCs w:val="16"/>
              </w:rPr>
            </w:pPr>
            <w:r w:rsidRPr="009A5DAF">
              <w:rPr>
                <w:rFonts w:ascii="Verdana" w:hAnsi="Verdana" w:cs="Arial"/>
                <w:b/>
                <w:sz w:val="16"/>
                <w:szCs w:val="16"/>
              </w:rPr>
              <w:t>200</w:t>
            </w:r>
            <w:r>
              <w:rPr>
                <w:rFonts w:ascii="Verdana" w:hAnsi="Verdana" w:cs="Arial"/>
                <w:b/>
                <w:sz w:val="16"/>
                <w:szCs w:val="16"/>
              </w:rPr>
              <w:t>9</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4A01B2">
            <w:pPr>
              <w:jc w:val="right"/>
              <w:rPr>
                <w:rFonts w:ascii="Verdana" w:hAnsi="Verdana" w:cs="Arial"/>
                <w:b/>
                <w:sz w:val="16"/>
                <w:szCs w:val="16"/>
              </w:rPr>
            </w:pPr>
            <w:r w:rsidRPr="009A5DAF">
              <w:rPr>
                <w:rFonts w:ascii="Verdana" w:hAnsi="Verdana" w:cs="Arial"/>
                <w:b/>
                <w:sz w:val="16"/>
                <w:szCs w:val="16"/>
              </w:rPr>
              <w:t>20</w:t>
            </w:r>
            <w:r>
              <w:rPr>
                <w:rFonts w:ascii="Verdana" w:hAnsi="Verdana" w:cs="Arial"/>
                <w:b/>
                <w:sz w:val="16"/>
                <w:szCs w:val="16"/>
              </w:rPr>
              <w:t>10</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4A01B2">
            <w:pPr>
              <w:jc w:val="right"/>
              <w:rPr>
                <w:rFonts w:ascii="Verdana" w:hAnsi="Verdana" w:cs="Arial"/>
                <w:b/>
                <w:sz w:val="16"/>
                <w:szCs w:val="16"/>
              </w:rPr>
            </w:pPr>
            <w:r w:rsidRPr="009A5DAF">
              <w:rPr>
                <w:rFonts w:ascii="Verdana" w:hAnsi="Verdana" w:cs="Arial"/>
                <w:b/>
                <w:sz w:val="16"/>
                <w:szCs w:val="16"/>
              </w:rPr>
              <w:t>20</w:t>
            </w:r>
            <w:r>
              <w:rPr>
                <w:rFonts w:ascii="Verdana" w:hAnsi="Verdana" w:cs="Arial"/>
                <w:b/>
                <w:sz w:val="16"/>
                <w:szCs w:val="16"/>
              </w:rPr>
              <w:t>11</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5D24AF">
            <w:pPr>
              <w:jc w:val="right"/>
              <w:rPr>
                <w:rFonts w:ascii="Verdana" w:hAnsi="Verdana" w:cs="Arial"/>
                <w:b/>
                <w:sz w:val="16"/>
                <w:szCs w:val="16"/>
              </w:rPr>
            </w:pPr>
            <w:r w:rsidRPr="009A5DAF">
              <w:rPr>
                <w:rFonts w:ascii="Verdana" w:hAnsi="Verdana" w:cs="Arial"/>
                <w:b/>
                <w:sz w:val="16"/>
                <w:szCs w:val="16"/>
              </w:rPr>
              <w:t>20</w:t>
            </w:r>
            <w:r>
              <w:rPr>
                <w:rFonts w:ascii="Verdana" w:hAnsi="Verdana" w:cs="Arial"/>
                <w:b/>
                <w:sz w:val="16"/>
                <w:szCs w:val="16"/>
              </w:rPr>
              <w:t>12</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686B54">
            <w:pPr>
              <w:jc w:val="right"/>
              <w:rPr>
                <w:rFonts w:ascii="Verdana" w:hAnsi="Verdana" w:cs="Arial"/>
                <w:b/>
                <w:sz w:val="16"/>
                <w:szCs w:val="16"/>
              </w:rPr>
            </w:pPr>
            <w:r w:rsidRPr="009A5DAF">
              <w:rPr>
                <w:rFonts w:ascii="Verdana" w:hAnsi="Verdana" w:cs="Arial"/>
                <w:b/>
                <w:sz w:val="16"/>
                <w:szCs w:val="16"/>
              </w:rPr>
              <w:t>20</w:t>
            </w:r>
            <w:r>
              <w:rPr>
                <w:rFonts w:ascii="Verdana" w:hAnsi="Verdana" w:cs="Arial"/>
                <w:b/>
                <w:sz w:val="16"/>
                <w:szCs w:val="16"/>
              </w:rPr>
              <w:t>13</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5D24AF">
            <w:pPr>
              <w:ind w:right="20"/>
              <w:jc w:val="right"/>
              <w:rPr>
                <w:rFonts w:ascii="Verdana" w:hAnsi="Verdana" w:cs="Arial"/>
                <w:b/>
                <w:sz w:val="16"/>
                <w:szCs w:val="16"/>
              </w:rPr>
            </w:pPr>
            <w:r w:rsidRPr="009A5DAF">
              <w:rPr>
                <w:rFonts w:ascii="Verdana" w:hAnsi="Verdana" w:cs="Arial"/>
                <w:b/>
                <w:sz w:val="16"/>
                <w:szCs w:val="16"/>
              </w:rPr>
              <w:t>20</w:t>
            </w:r>
            <w:r>
              <w:rPr>
                <w:rFonts w:ascii="Verdana" w:hAnsi="Verdana" w:cs="Arial"/>
                <w:b/>
                <w:sz w:val="16"/>
                <w:szCs w:val="16"/>
              </w:rPr>
              <w:t>14</w:t>
            </w:r>
          </w:p>
        </w:tc>
        <w:tc>
          <w:tcPr>
            <w:tcW w:w="822" w:type="dxa"/>
            <w:tcBorders>
              <w:top w:val="single" w:sz="8" w:space="0" w:color="auto"/>
              <w:left w:val="single" w:sz="2" w:space="0" w:color="auto"/>
              <w:bottom w:val="single" w:sz="4" w:space="0" w:color="auto"/>
              <w:right w:val="single" w:sz="2" w:space="0" w:color="auto"/>
            </w:tcBorders>
            <w:vAlign w:val="bottom"/>
          </w:tcPr>
          <w:p w:rsidR="00AB7A05" w:rsidRPr="009A5DAF" w:rsidRDefault="00AB7A05" w:rsidP="00E67094">
            <w:pPr>
              <w:ind w:right="20"/>
              <w:jc w:val="right"/>
              <w:rPr>
                <w:rFonts w:ascii="Verdana" w:hAnsi="Verdana" w:cs="Arial"/>
                <w:b/>
                <w:sz w:val="16"/>
                <w:szCs w:val="16"/>
              </w:rPr>
            </w:pPr>
            <w:r w:rsidRPr="009A5DAF">
              <w:rPr>
                <w:rFonts w:ascii="Verdana" w:hAnsi="Verdana" w:cs="Arial"/>
                <w:b/>
                <w:sz w:val="16"/>
                <w:szCs w:val="16"/>
              </w:rPr>
              <w:t>20</w:t>
            </w:r>
            <w:r>
              <w:rPr>
                <w:rFonts w:ascii="Verdana" w:hAnsi="Verdana" w:cs="Arial"/>
                <w:b/>
                <w:sz w:val="16"/>
                <w:szCs w:val="16"/>
              </w:rPr>
              <w:t>15</w:t>
            </w:r>
            <w:r>
              <w:rPr>
                <w:rStyle w:val="Sprotnaopomba-sklic"/>
                <w:rFonts w:ascii="Verdana" w:hAnsi="Verdana" w:cs="Arial"/>
                <w:sz w:val="16"/>
                <w:szCs w:val="16"/>
              </w:rPr>
              <w:footnoteReference w:id="14"/>
            </w:r>
          </w:p>
        </w:tc>
        <w:tc>
          <w:tcPr>
            <w:tcW w:w="823" w:type="dxa"/>
            <w:tcBorders>
              <w:top w:val="single" w:sz="8" w:space="0" w:color="auto"/>
              <w:left w:val="single" w:sz="2" w:space="0" w:color="auto"/>
              <w:bottom w:val="single" w:sz="4" w:space="0" w:color="auto"/>
              <w:right w:val="single" w:sz="2" w:space="0" w:color="auto"/>
            </w:tcBorders>
            <w:vAlign w:val="bottom"/>
          </w:tcPr>
          <w:p w:rsidR="00AB7A05" w:rsidRPr="00AB7A05" w:rsidRDefault="00AB7A05" w:rsidP="00AB7A05">
            <w:pPr>
              <w:ind w:right="20"/>
              <w:jc w:val="right"/>
              <w:rPr>
                <w:rFonts w:ascii="Verdana" w:hAnsi="Verdana" w:cs="Arial"/>
                <w:b/>
                <w:sz w:val="16"/>
                <w:szCs w:val="16"/>
              </w:rPr>
            </w:pPr>
            <w:r w:rsidRPr="00AB7A05">
              <w:rPr>
                <w:rFonts w:ascii="Verdana" w:hAnsi="Verdana" w:cs="Arial"/>
                <w:b/>
                <w:sz w:val="16"/>
                <w:szCs w:val="16"/>
              </w:rPr>
              <w:t>2016</w:t>
            </w:r>
            <w:r w:rsidRPr="00AB7A05">
              <w:rPr>
                <w:rFonts w:ascii="Verdana" w:hAnsi="Verdana" w:cs="Arial"/>
                <w:sz w:val="16"/>
                <w:szCs w:val="16"/>
                <w:vertAlign w:val="superscript"/>
              </w:rPr>
              <w:t>15</w:t>
            </w:r>
          </w:p>
        </w:tc>
        <w:tc>
          <w:tcPr>
            <w:tcW w:w="993" w:type="dxa"/>
            <w:tcBorders>
              <w:top w:val="single" w:sz="8" w:space="0" w:color="auto"/>
              <w:left w:val="single" w:sz="2" w:space="0" w:color="auto"/>
              <w:bottom w:val="single" w:sz="4" w:space="0" w:color="auto"/>
              <w:right w:val="single" w:sz="2" w:space="0" w:color="auto"/>
            </w:tcBorders>
            <w:vAlign w:val="bottom"/>
          </w:tcPr>
          <w:p w:rsidR="00AB7A05" w:rsidRPr="00AB7A05" w:rsidRDefault="00AB7A05" w:rsidP="003E2357">
            <w:pPr>
              <w:ind w:right="20"/>
              <w:jc w:val="right"/>
              <w:rPr>
                <w:rFonts w:ascii="Verdana" w:hAnsi="Verdana" w:cs="Arial"/>
                <w:b/>
                <w:sz w:val="16"/>
                <w:szCs w:val="16"/>
              </w:rPr>
            </w:pPr>
            <w:r w:rsidRPr="00AB7A05">
              <w:rPr>
                <w:rFonts w:ascii="Verdana" w:hAnsi="Verdana" w:cs="Arial"/>
                <w:b/>
                <w:sz w:val="16"/>
                <w:szCs w:val="16"/>
              </w:rPr>
              <w:t>2017</w:t>
            </w:r>
            <w:r w:rsidR="002D2D82" w:rsidRPr="002D2D82">
              <w:rPr>
                <w:rFonts w:ascii="Verdana" w:hAnsi="Verdana" w:cs="Arial"/>
                <w:sz w:val="16"/>
                <w:szCs w:val="16"/>
                <w:vertAlign w:val="superscript"/>
              </w:rPr>
              <w:t>15</w:t>
            </w:r>
            <w:r w:rsidR="00787EC9">
              <w:rPr>
                <w:rFonts w:ascii="Verdana" w:hAnsi="Verdana" w:cs="Arial"/>
                <w:b/>
                <w:sz w:val="16"/>
                <w:szCs w:val="16"/>
              </w:rPr>
              <w:t>*</w:t>
            </w:r>
          </w:p>
        </w:tc>
      </w:tr>
      <w:tr w:rsidR="00AB7A05" w:rsidRPr="00365846" w:rsidTr="002D2D82">
        <w:trPr>
          <w:trHeight w:val="227"/>
          <w:tblHeader/>
        </w:trPr>
        <w:tc>
          <w:tcPr>
            <w:tcW w:w="4566" w:type="dxa"/>
            <w:tcBorders>
              <w:top w:val="single" w:sz="4"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MLEKO</w:t>
            </w:r>
          </w:p>
        </w:tc>
        <w:tc>
          <w:tcPr>
            <w:tcW w:w="1134" w:type="dxa"/>
            <w:tcBorders>
              <w:top w:val="single" w:sz="4"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 </w:t>
            </w:r>
          </w:p>
        </w:tc>
        <w:tc>
          <w:tcPr>
            <w:tcW w:w="822" w:type="dxa"/>
            <w:tcBorders>
              <w:top w:val="single" w:sz="4"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right"/>
              <w:rPr>
                <w:rFonts w:ascii="Verdana" w:hAnsi="Verdana" w:cs="Arial"/>
                <w:sz w:val="16"/>
                <w:szCs w:val="16"/>
              </w:rPr>
            </w:pPr>
            <w:r w:rsidRPr="00365846">
              <w:rPr>
                <w:rFonts w:ascii="Verdana" w:hAnsi="Verdana" w:cs="Arial"/>
                <w:sz w:val="16"/>
                <w:szCs w:val="16"/>
              </w:rPr>
              <w:t> </w:t>
            </w: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4A01B2">
            <w:pPr>
              <w:jc w:val="right"/>
              <w:rPr>
                <w:rFonts w:ascii="Verdana" w:hAnsi="Verdana" w:cs="Arial"/>
                <w:sz w:val="16"/>
                <w:szCs w:val="16"/>
              </w:rPr>
            </w:pPr>
            <w:r w:rsidRPr="00365846">
              <w:rPr>
                <w:rFonts w:ascii="Verdana" w:hAnsi="Verdana" w:cs="Arial"/>
                <w:sz w:val="16"/>
                <w:szCs w:val="16"/>
              </w:rPr>
              <w:t> </w:t>
            </w: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4A01B2">
            <w:pPr>
              <w:jc w:val="right"/>
              <w:rPr>
                <w:rFonts w:ascii="Verdana" w:hAnsi="Verdana" w:cs="Arial"/>
                <w:sz w:val="16"/>
                <w:szCs w:val="16"/>
              </w:rPr>
            </w:pP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4A01B2">
            <w:pPr>
              <w:jc w:val="right"/>
              <w:rPr>
                <w:rFonts w:ascii="Verdana" w:hAnsi="Verdana" w:cs="Arial"/>
                <w:sz w:val="16"/>
                <w:szCs w:val="16"/>
              </w:rPr>
            </w:pP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4A01B2">
            <w:pPr>
              <w:jc w:val="right"/>
              <w:rPr>
                <w:rFonts w:ascii="Verdana" w:hAnsi="Verdana" w:cs="Arial"/>
                <w:sz w:val="16"/>
                <w:szCs w:val="16"/>
              </w:rPr>
            </w:pP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4A01B2">
            <w:pPr>
              <w:jc w:val="right"/>
              <w:rPr>
                <w:rFonts w:ascii="Verdana" w:hAnsi="Verdana" w:cs="Arial"/>
                <w:sz w:val="16"/>
                <w:szCs w:val="16"/>
              </w:rPr>
            </w:pP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4A01B2">
            <w:pPr>
              <w:jc w:val="right"/>
              <w:rPr>
                <w:rFonts w:ascii="Verdana" w:hAnsi="Verdana" w:cs="Arial"/>
                <w:sz w:val="16"/>
                <w:szCs w:val="16"/>
              </w:rPr>
            </w:pP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5D24AF">
            <w:pPr>
              <w:ind w:right="20"/>
              <w:jc w:val="right"/>
              <w:rPr>
                <w:rFonts w:ascii="Verdana" w:hAnsi="Verdana" w:cs="Arial"/>
                <w:sz w:val="16"/>
                <w:szCs w:val="16"/>
              </w:rPr>
            </w:pPr>
          </w:p>
        </w:tc>
        <w:tc>
          <w:tcPr>
            <w:tcW w:w="822"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365846" w:rsidRDefault="00AB7A05" w:rsidP="005D24AF">
            <w:pPr>
              <w:ind w:right="20"/>
              <w:jc w:val="right"/>
              <w:rPr>
                <w:rFonts w:ascii="Verdana" w:hAnsi="Verdana" w:cs="Arial"/>
                <w:sz w:val="16"/>
                <w:szCs w:val="16"/>
              </w:rPr>
            </w:pPr>
          </w:p>
        </w:tc>
        <w:tc>
          <w:tcPr>
            <w:tcW w:w="823"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5D24AF">
            <w:pPr>
              <w:ind w:right="20"/>
              <w:jc w:val="right"/>
              <w:rPr>
                <w:rFonts w:ascii="Verdana" w:hAnsi="Verdana" w:cs="Arial"/>
                <w:sz w:val="16"/>
                <w:szCs w:val="16"/>
              </w:rPr>
            </w:pPr>
          </w:p>
        </w:tc>
        <w:tc>
          <w:tcPr>
            <w:tcW w:w="993" w:type="dxa"/>
            <w:tcBorders>
              <w:top w:val="single" w:sz="4"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5D24AF">
            <w:pPr>
              <w:ind w:right="20"/>
              <w:jc w:val="right"/>
              <w:rPr>
                <w:rFonts w:ascii="Verdana" w:hAnsi="Verdana" w:cs="Arial"/>
                <w:sz w:val="16"/>
                <w:szCs w:val="16"/>
              </w:rPr>
            </w:pP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5D24AF">
            <w:pPr>
              <w:jc w:val="left"/>
              <w:rPr>
                <w:rFonts w:ascii="Verdana" w:hAnsi="Verdana" w:cs="Arial"/>
                <w:sz w:val="16"/>
                <w:szCs w:val="16"/>
              </w:rPr>
            </w:pPr>
            <w:r>
              <w:rPr>
                <w:rFonts w:ascii="Verdana" w:hAnsi="Verdana" w:cs="Arial"/>
                <w:sz w:val="16"/>
                <w:szCs w:val="16"/>
              </w:rPr>
              <w:t>Zgodovinski dodatek za mleko (tržno leto)</w:t>
            </w:r>
            <w:r>
              <w:rPr>
                <w:rStyle w:val="Sprotnaopomba-sklic"/>
                <w:rFonts w:ascii="Verdana" w:hAnsi="Verdana" w:cs="Arial"/>
                <w:sz w:val="16"/>
                <w:szCs w:val="16"/>
              </w:rPr>
              <w:footnoteReference w:id="15"/>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l</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jc w:val="right"/>
              <w:rPr>
                <w:rFonts w:ascii="Verdana" w:hAnsi="Verdana" w:cs="Arial"/>
                <w:sz w:val="16"/>
                <w:szCs w:val="16"/>
              </w:rPr>
            </w:pPr>
            <w:r w:rsidRPr="00AB7A05">
              <w:rPr>
                <w:rFonts w:ascii="Verdana" w:hAnsi="Verdana" w:cs="Arial"/>
                <w:sz w:val="16"/>
                <w:szCs w:val="16"/>
              </w:rPr>
              <w:t>-</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5D24AF">
            <w:pPr>
              <w:jc w:val="left"/>
              <w:rPr>
                <w:rFonts w:ascii="Verdana" w:hAnsi="Verdana" w:cs="Arial"/>
                <w:sz w:val="16"/>
                <w:szCs w:val="16"/>
              </w:rPr>
            </w:pPr>
            <w:r>
              <w:rPr>
                <w:rFonts w:ascii="Verdana" w:hAnsi="Verdana" w:cs="Arial"/>
                <w:sz w:val="16"/>
                <w:szCs w:val="16"/>
              </w:rPr>
              <w:t>Plačila za mleko skupaj (koledarsko leto)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EUR/</w:t>
            </w:r>
            <w:r>
              <w:rPr>
                <w:rFonts w:ascii="Verdana" w:hAnsi="Verdana" w:cs="Arial"/>
                <w:sz w:val="16"/>
                <w:szCs w:val="16"/>
              </w:rPr>
              <w:t>l</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4A01B2">
            <w:pPr>
              <w:jc w:val="right"/>
              <w:rPr>
                <w:rFonts w:ascii="Verdana" w:hAnsi="Verdana"/>
                <w:sz w:val="16"/>
                <w:szCs w:val="16"/>
              </w:rPr>
            </w:pPr>
            <w:r>
              <w:rPr>
                <w:rFonts w:ascii="Verdana" w:hAnsi="Verdana"/>
                <w:sz w:val="16"/>
                <w:szCs w:val="16"/>
              </w:rPr>
              <w:t>0,0311</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sz w:val="16"/>
                <w:szCs w:val="16"/>
              </w:rPr>
            </w:pPr>
            <w:r>
              <w:rPr>
                <w:rFonts w:ascii="Verdana" w:hAnsi="Verdana"/>
                <w:sz w:val="16"/>
                <w:szCs w:val="16"/>
              </w:rPr>
              <w:t>0,0297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jc w:val="right"/>
              <w:rPr>
                <w:rFonts w:ascii="Verdana" w:hAnsi="Verdana" w:cs="Arial"/>
                <w:sz w:val="16"/>
                <w:szCs w:val="16"/>
              </w:rPr>
            </w:pPr>
            <w:r w:rsidRPr="00AB7A05">
              <w:rPr>
                <w:rFonts w:ascii="Verdana" w:hAnsi="Verdana" w:cs="Arial"/>
                <w:sz w:val="16"/>
                <w:szCs w:val="16"/>
              </w:rPr>
              <w:t>-</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4A01B2">
            <w:pPr>
              <w:jc w:val="left"/>
              <w:rPr>
                <w:rFonts w:ascii="Verdana" w:hAnsi="Verdana" w:cs="Arial"/>
                <w:sz w:val="16"/>
                <w:szCs w:val="16"/>
              </w:rPr>
            </w:pPr>
            <w:r>
              <w:rPr>
                <w:rFonts w:ascii="Verdana" w:hAnsi="Verdana" w:cs="Arial"/>
                <w:sz w:val="16"/>
                <w:szCs w:val="16"/>
              </w:rPr>
              <w:t>Zgodovinski dodatek za klavno govedo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EUR/glavo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2F61B5" w:rsidRDefault="00AB7A05" w:rsidP="005D24AF">
            <w:pPr>
              <w:ind w:right="20"/>
              <w:jc w:val="right"/>
              <w:rPr>
                <w:rFonts w:ascii="Verdana" w:hAnsi="Verdana" w:cs="Arial"/>
                <w:sz w:val="16"/>
                <w:szCs w:val="16"/>
              </w:rPr>
            </w:pPr>
            <w:r w:rsidRPr="002F61B5">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ind w:right="20"/>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ind w:right="20"/>
              <w:jc w:val="right"/>
              <w:rPr>
                <w:rFonts w:ascii="Verdana" w:hAnsi="Verdana" w:cs="Arial"/>
                <w:sz w:val="16"/>
                <w:szCs w:val="16"/>
              </w:rPr>
            </w:pPr>
            <w:r w:rsidRPr="00AB7A05">
              <w:rPr>
                <w:rFonts w:ascii="Verdana" w:hAnsi="Verdana" w:cs="Arial"/>
                <w:sz w:val="16"/>
                <w:szCs w:val="16"/>
              </w:rPr>
              <w:t>-</w:t>
            </w:r>
          </w:p>
        </w:tc>
      </w:tr>
      <w:tr w:rsidR="00404E20"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4A01B2" w:rsidRDefault="00404E20" w:rsidP="00CB13E1">
            <w:pPr>
              <w:jc w:val="left"/>
              <w:rPr>
                <w:rFonts w:ascii="Verdana" w:hAnsi="Verdana" w:cs="Arial"/>
                <w:color w:val="1F497D"/>
                <w:sz w:val="16"/>
                <w:szCs w:val="16"/>
              </w:rPr>
            </w:pPr>
            <w:r w:rsidRPr="00F81EB6">
              <w:rPr>
                <w:rFonts w:ascii="Verdana" w:hAnsi="Verdana" w:cs="Arial"/>
                <w:sz w:val="16"/>
                <w:szCs w:val="16"/>
              </w:rPr>
              <w:t>Plačilna pravica</w:t>
            </w:r>
            <w:r>
              <w:rPr>
                <w:rFonts w:ascii="Verdana" w:hAnsi="Verdana" w:cs="Arial"/>
                <w:sz w:val="16"/>
                <w:szCs w:val="16"/>
              </w:rPr>
              <w:t xml:space="preserve"> z dodatkom za zeleno komponento – 4500 l/kravo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146874" w:rsidRDefault="00404E20" w:rsidP="00146874">
            <w:pPr>
              <w:jc w:val="left"/>
              <w:rPr>
                <w:rFonts w:ascii="Verdana" w:hAnsi="Verdana" w:cs="Arial"/>
                <w:sz w:val="16"/>
                <w:szCs w:val="16"/>
              </w:rPr>
            </w:pPr>
            <w:r w:rsidRPr="00146874">
              <w:rPr>
                <w:rFonts w:ascii="Verdana" w:hAnsi="Verdana" w:cs="Arial"/>
                <w:sz w:val="16"/>
                <w:szCs w:val="16"/>
              </w:rPr>
              <w:t>EUR/</w:t>
            </w:r>
            <w:r>
              <w:rPr>
                <w:rFonts w:ascii="Verdana" w:hAnsi="Verdana" w:cs="Arial"/>
                <w:sz w:val="16"/>
                <w:szCs w:val="16"/>
              </w:rPr>
              <w:t>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187,93</w:t>
            </w:r>
          </w:p>
        </w:tc>
        <w:tc>
          <w:tcPr>
            <w:tcW w:w="82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184,80</w:t>
            </w:r>
          </w:p>
        </w:tc>
        <w:tc>
          <w:tcPr>
            <w:tcW w:w="99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180,51</w:t>
            </w:r>
          </w:p>
        </w:tc>
      </w:tr>
      <w:tr w:rsidR="00404E20"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4A01B2" w:rsidRDefault="00404E20" w:rsidP="005D24AF">
            <w:pPr>
              <w:jc w:val="left"/>
              <w:rPr>
                <w:rFonts w:ascii="Verdana" w:hAnsi="Verdana" w:cs="Arial"/>
                <w:color w:val="1F497D"/>
                <w:sz w:val="16"/>
                <w:szCs w:val="16"/>
              </w:rPr>
            </w:pPr>
            <w:r w:rsidRPr="00F81EB6">
              <w:rPr>
                <w:rFonts w:ascii="Verdana" w:hAnsi="Verdana" w:cs="Arial"/>
                <w:sz w:val="16"/>
                <w:szCs w:val="16"/>
              </w:rPr>
              <w:t>Plačilna pravica</w:t>
            </w:r>
            <w:r>
              <w:rPr>
                <w:rFonts w:ascii="Verdana" w:hAnsi="Verdana" w:cs="Arial"/>
                <w:sz w:val="16"/>
                <w:szCs w:val="16"/>
              </w:rPr>
              <w:t xml:space="preserve"> z dodatkom za zeleno komponento – 6500 l/kravo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146874" w:rsidRDefault="00404E20" w:rsidP="00146874">
            <w:pPr>
              <w:jc w:val="left"/>
              <w:rPr>
                <w:rFonts w:ascii="Verdana" w:hAnsi="Verdana" w:cs="Arial"/>
                <w:sz w:val="16"/>
                <w:szCs w:val="16"/>
              </w:rPr>
            </w:pPr>
            <w:r w:rsidRPr="00146874">
              <w:rPr>
                <w:rFonts w:ascii="Verdana" w:hAnsi="Verdana" w:cs="Arial"/>
                <w:sz w:val="16"/>
                <w:szCs w:val="16"/>
              </w:rPr>
              <w:t>EUR/</w:t>
            </w:r>
            <w:r>
              <w:rPr>
                <w:rFonts w:ascii="Verdana" w:hAnsi="Verdana" w:cs="Arial"/>
                <w:sz w:val="16"/>
                <w:szCs w:val="16"/>
              </w:rPr>
              <w:t>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240,55</w:t>
            </w:r>
          </w:p>
        </w:tc>
        <w:tc>
          <w:tcPr>
            <w:tcW w:w="82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235,11</w:t>
            </w:r>
          </w:p>
        </w:tc>
        <w:tc>
          <w:tcPr>
            <w:tcW w:w="99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228,23</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PITANO GOVEDO</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9F7478" w:rsidRDefault="00AB7A05" w:rsidP="005D24AF">
            <w:pPr>
              <w:ind w:right="20"/>
              <w:jc w:val="right"/>
              <w:rPr>
                <w:rFonts w:ascii="Verdana" w:hAnsi="Verdana" w:cs="Arial"/>
                <w:sz w:val="16"/>
                <w:szCs w:val="16"/>
              </w:rPr>
            </w:pPr>
          </w:p>
        </w:tc>
        <w:tc>
          <w:tcPr>
            <w:tcW w:w="82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E03E5D">
            <w:pPr>
              <w:ind w:right="20"/>
              <w:jc w:val="right"/>
              <w:rPr>
                <w:rFonts w:ascii="Verdana" w:hAnsi="Verdana" w:cs="Arial"/>
                <w:sz w:val="16"/>
                <w:szCs w:val="16"/>
              </w:rPr>
            </w:pPr>
          </w:p>
        </w:tc>
        <w:tc>
          <w:tcPr>
            <w:tcW w:w="99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993D74">
            <w:pPr>
              <w:ind w:right="20"/>
              <w:jc w:val="right"/>
              <w:rPr>
                <w:rFonts w:ascii="Verdana" w:hAnsi="Verdana" w:cs="Arial"/>
                <w:sz w:val="16"/>
                <w:szCs w:val="16"/>
              </w:rPr>
            </w:pP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Posebna premija za bike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EUR/glavo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136,50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9F7478" w:rsidRDefault="00AB7A05" w:rsidP="00EC4F85">
            <w:pPr>
              <w:jc w:val="right"/>
              <w:rPr>
                <w:rFonts w:ascii="Verdana" w:hAnsi="Verdana" w:cs="Arial"/>
                <w:sz w:val="16"/>
                <w:szCs w:val="16"/>
              </w:rPr>
            </w:pPr>
            <w:r w:rsidRPr="009F7478">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jc w:val="right"/>
              <w:rPr>
                <w:rFonts w:ascii="Verdana" w:hAnsi="Verdana" w:cs="Arial"/>
                <w:sz w:val="16"/>
                <w:szCs w:val="16"/>
              </w:rPr>
            </w:pPr>
            <w:r w:rsidRPr="00AB7A05">
              <w:rPr>
                <w:rFonts w:ascii="Verdana" w:hAnsi="Verdana" w:cs="Arial"/>
                <w:sz w:val="16"/>
                <w:szCs w:val="16"/>
              </w:rPr>
              <w:t>-</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Zgodovinski dodatek za bike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EUR/glavo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62,69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9F7478" w:rsidRDefault="00AB7A05" w:rsidP="00EC4F85">
            <w:pPr>
              <w:jc w:val="right"/>
              <w:rPr>
                <w:rFonts w:ascii="Verdana" w:hAnsi="Verdana" w:cs="Arial"/>
                <w:sz w:val="16"/>
                <w:szCs w:val="16"/>
              </w:rPr>
            </w:pPr>
            <w:r w:rsidRPr="009F7478">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jc w:val="right"/>
              <w:rPr>
                <w:rFonts w:ascii="Verdana" w:hAnsi="Verdana" w:cs="Arial"/>
                <w:sz w:val="16"/>
                <w:szCs w:val="16"/>
              </w:rPr>
            </w:pPr>
            <w:r w:rsidRPr="00AB7A05">
              <w:rPr>
                <w:rFonts w:ascii="Verdana" w:hAnsi="Verdana" w:cs="Arial"/>
                <w:sz w:val="16"/>
                <w:szCs w:val="16"/>
              </w:rPr>
              <w:t>-</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4A01B2">
            <w:pPr>
              <w:jc w:val="left"/>
              <w:rPr>
                <w:rFonts w:ascii="Verdana" w:hAnsi="Verdana" w:cs="Arial"/>
                <w:sz w:val="16"/>
                <w:szCs w:val="16"/>
              </w:rPr>
            </w:pPr>
            <w:r>
              <w:rPr>
                <w:rFonts w:ascii="Verdana" w:hAnsi="Verdana" w:cs="Arial"/>
                <w:sz w:val="16"/>
                <w:szCs w:val="16"/>
              </w:rPr>
              <w:t>Zgodovinski dodatek za klavno govedo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EUR/glavo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31,35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2F61B5" w:rsidRDefault="00AB7A05" w:rsidP="00EC4F85">
            <w:pPr>
              <w:ind w:right="20"/>
              <w:jc w:val="right"/>
              <w:rPr>
                <w:rFonts w:ascii="Verdana" w:hAnsi="Verdana" w:cs="Arial"/>
                <w:sz w:val="16"/>
                <w:szCs w:val="16"/>
              </w:rPr>
            </w:pPr>
            <w:r w:rsidRPr="002F61B5">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ind w:right="20"/>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ind w:right="20"/>
              <w:jc w:val="right"/>
              <w:rPr>
                <w:rFonts w:ascii="Verdana" w:hAnsi="Verdana" w:cs="Arial"/>
                <w:sz w:val="16"/>
                <w:szCs w:val="16"/>
              </w:rPr>
            </w:pPr>
            <w:r w:rsidRPr="00AB7A05">
              <w:rPr>
                <w:rFonts w:ascii="Verdana" w:hAnsi="Verdana" w:cs="Arial"/>
                <w:sz w:val="16"/>
                <w:szCs w:val="16"/>
              </w:rPr>
              <w:t>-</w:t>
            </w:r>
          </w:p>
        </w:tc>
      </w:tr>
      <w:tr w:rsidR="00404E20"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4A01B2" w:rsidRDefault="00404E20" w:rsidP="004A01B2">
            <w:pPr>
              <w:jc w:val="left"/>
              <w:rPr>
                <w:rFonts w:ascii="Verdana" w:hAnsi="Verdana" w:cs="Arial"/>
                <w:color w:val="1F497D"/>
                <w:sz w:val="16"/>
                <w:szCs w:val="16"/>
              </w:rPr>
            </w:pPr>
            <w:r w:rsidRPr="00F81EB6">
              <w:rPr>
                <w:rFonts w:ascii="Verdana" w:hAnsi="Verdana" w:cs="Arial"/>
                <w:sz w:val="16"/>
                <w:szCs w:val="16"/>
              </w:rPr>
              <w:t>Plačilna pravica</w:t>
            </w:r>
            <w:r>
              <w:rPr>
                <w:rFonts w:ascii="Verdana" w:hAnsi="Verdana" w:cs="Arial"/>
                <w:sz w:val="16"/>
                <w:szCs w:val="16"/>
              </w:rPr>
              <w:t xml:space="preserve"> z dodatkom za zeleno komponento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146874" w:rsidRDefault="00404E20" w:rsidP="00146874">
            <w:pPr>
              <w:jc w:val="left"/>
              <w:rPr>
                <w:rFonts w:ascii="Verdana" w:hAnsi="Verdana" w:cs="Arial"/>
                <w:sz w:val="16"/>
                <w:szCs w:val="16"/>
              </w:rPr>
            </w:pPr>
            <w:r w:rsidRPr="00146874">
              <w:rPr>
                <w:rFonts w:ascii="Verdana" w:hAnsi="Verdana" w:cs="Arial"/>
                <w:sz w:val="16"/>
                <w:szCs w:val="16"/>
              </w:rPr>
              <w:t>EUR/</w:t>
            </w:r>
            <w:r>
              <w:rPr>
                <w:rFonts w:ascii="Verdana" w:hAnsi="Verdana" w:cs="Arial"/>
                <w:sz w:val="16"/>
                <w:szCs w:val="16"/>
              </w:rPr>
              <w:t>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197,44</w:t>
            </w:r>
          </w:p>
        </w:tc>
        <w:tc>
          <w:tcPr>
            <w:tcW w:w="82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192,97</w:t>
            </w:r>
          </w:p>
        </w:tc>
        <w:tc>
          <w:tcPr>
            <w:tcW w:w="99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187,32</w:t>
            </w:r>
          </w:p>
        </w:tc>
      </w:tr>
      <w:tr w:rsidR="00AB7A05" w:rsidRPr="009F7478"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F81EB6" w:rsidRDefault="00AB7A05" w:rsidP="004A01B2">
            <w:pPr>
              <w:jc w:val="left"/>
              <w:rPr>
                <w:rFonts w:ascii="Verdana" w:hAnsi="Verdana" w:cs="Arial"/>
                <w:sz w:val="16"/>
                <w:szCs w:val="16"/>
              </w:rPr>
            </w:pPr>
            <w:r>
              <w:rPr>
                <w:rFonts w:ascii="Verdana" w:hAnsi="Verdana" w:cs="Arial"/>
                <w:sz w:val="16"/>
                <w:szCs w:val="16"/>
              </w:rPr>
              <w:t>Proizvodno vezano plačilo za rejo govedi</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146874" w:rsidRDefault="00AB7A05" w:rsidP="00146874">
            <w:pPr>
              <w:jc w:val="left"/>
              <w:rPr>
                <w:rFonts w:ascii="Verdana" w:hAnsi="Verdana" w:cs="Arial"/>
                <w:sz w:val="16"/>
                <w:szCs w:val="16"/>
              </w:rPr>
            </w:pPr>
            <w:r w:rsidRPr="00146874">
              <w:rPr>
                <w:rFonts w:ascii="Verdana" w:hAnsi="Verdana" w:cs="Arial"/>
                <w:sz w:val="16"/>
                <w:szCs w:val="16"/>
              </w:rPr>
              <w:t>EUR/</w:t>
            </w:r>
            <w:r>
              <w:rPr>
                <w:rFonts w:ascii="Verdana" w:hAnsi="Verdana" w:cs="Arial"/>
                <w:sz w:val="16"/>
                <w:szCs w:val="16"/>
              </w:rPr>
              <w:t>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2F61B5" w:rsidRDefault="00AB7A05" w:rsidP="00F008E0">
            <w:pPr>
              <w:ind w:right="20"/>
              <w:jc w:val="right"/>
              <w:rPr>
                <w:rFonts w:ascii="Verdana" w:hAnsi="Verdana" w:cs="Arial"/>
                <w:sz w:val="16"/>
                <w:szCs w:val="16"/>
              </w:rPr>
            </w:pPr>
            <w:r>
              <w:rPr>
                <w:rFonts w:ascii="Verdana" w:hAnsi="Verdana" w:cs="Arial"/>
                <w:sz w:val="16"/>
                <w:szCs w:val="16"/>
              </w:rPr>
              <w:t>29,39</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787EC9" w:rsidP="00787EC9">
            <w:pPr>
              <w:ind w:right="20"/>
              <w:jc w:val="right"/>
              <w:rPr>
                <w:rFonts w:ascii="Verdana" w:hAnsi="Verdana" w:cs="Arial"/>
                <w:sz w:val="16"/>
                <w:szCs w:val="16"/>
              </w:rPr>
            </w:pPr>
            <w:r>
              <w:rPr>
                <w:rFonts w:ascii="Verdana" w:hAnsi="Verdana" w:cs="Arial"/>
                <w:sz w:val="16"/>
                <w:szCs w:val="16"/>
              </w:rPr>
              <w:t>52,77</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787EC9" w:rsidP="00993D74">
            <w:pPr>
              <w:ind w:right="20"/>
              <w:jc w:val="right"/>
              <w:rPr>
                <w:rFonts w:ascii="Verdana" w:hAnsi="Verdana" w:cs="Arial"/>
                <w:sz w:val="16"/>
                <w:szCs w:val="16"/>
              </w:rPr>
            </w:pPr>
            <w:r>
              <w:rPr>
                <w:rFonts w:ascii="Verdana" w:hAnsi="Verdana" w:cs="Arial"/>
                <w:sz w:val="16"/>
                <w:szCs w:val="16"/>
              </w:rPr>
              <w:t>52,77</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O</w:t>
            </w:r>
            <w:r>
              <w:rPr>
                <w:rFonts w:ascii="Verdana" w:hAnsi="Verdana" w:cs="Arial"/>
                <w:sz w:val="16"/>
                <w:szCs w:val="16"/>
              </w:rPr>
              <w:t>VCE</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9F7478" w:rsidRDefault="00AB7A05" w:rsidP="005D24AF">
            <w:pPr>
              <w:ind w:right="20"/>
              <w:jc w:val="right"/>
              <w:rPr>
                <w:rFonts w:ascii="Verdana" w:hAnsi="Verdana" w:cs="Arial"/>
                <w:sz w:val="16"/>
                <w:szCs w:val="16"/>
              </w:rPr>
            </w:pPr>
          </w:p>
        </w:tc>
        <w:tc>
          <w:tcPr>
            <w:tcW w:w="82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E03E5D">
            <w:pPr>
              <w:ind w:right="20"/>
              <w:jc w:val="right"/>
              <w:rPr>
                <w:rFonts w:ascii="Verdana" w:hAnsi="Verdana" w:cs="Arial"/>
                <w:sz w:val="16"/>
                <w:szCs w:val="16"/>
              </w:rPr>
            </w:pPr>
          </w:p>
        </w:tc>
        <w:tc>
          <w:tcPr>
            <w:tcW w:w="99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993D74">
            <w:pPr>
              <w:ind w:right="20"/>
              <w:jc w:val="right"/>
              <w:rPr>
                <w:rFonts w:ascii="Verdana" w:hAnsi="Verdana" w:cs="Arial"/>
                <w:sz w:val="16"/>
                <w:szCs w:val="16"/>
              </w:rPr>
            </w:pP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Premije in dodatna plačila</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EUR/glavo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14,00</w:t>
            </w:r>
          </w:p>
        </w:tc>
        <w:tc>
          <w:tcPr>
            <w:tcW w:w="822" w:type="dxa"/>
            <w:tcBorders>
              <w:top w:val="single" w:sz="2" w:space="0" w:color="auto"/>
              <w:left w:val="single" w:sz="2" w:space="0" w:color="auto"/>
              <w:bottom w:val="single" w:sz="2" w:space="0" w:color="auto"/>
              <w:right w:val="single" w:sz="2" w:space="0" w:color="auto"/>
            </w:tcBorders>
            <w:shd w:val="clear" w:color="auto" w:fill="auto"/>
            <w:vAlign w:val="bottom"/>
          </w:tcPr>
          <w:p w:rsidR="00AB7A05" w:rsidRPr="00B72A52" w:rsidRDefault="00AB7A05" w:rsidP="005D24AF">
            <w:pPr>
              <w:ind w:right="20"/>
              <w:jc w:val="right"/>
              <w:rPr>
                <w:rFonts w:ascii="Verdana" w:hAnsi="Verdana" w:cs="Arial"/>
                <w:sz w:val="16"/>
                <w:szCs w:val="16"/>
              </w:rPr>
            </w:pPr>
            <w:r w:rsidRPr="00B72A52">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ind w:right="20"/>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ind w:right="20"/>
              <w:jc w:val="right"/>
              <w:rPr>
                <w:rFonts w:ascii="Verdana" w:hAnsi="Verdana" w:cs="Arial"/>
                <w:sz w:val="16"/>
                <w:szCs w:val="16"/>
              </w:rPr>
            </w:pPr>
            <w:r w:rsidRPr="00AB7A05">
              <w:rPr>
                <w:rFonts w:ascii="Verdana" w:hAnsi="Verdana" w:cs="Arial"/>
                <w:sz w:val="16"/>
                <w:szCs w:val="16"/>
              </w:rPr>
              <w:t>-</w:t>
            </w:r>
          </w:p>
        </w:tc>
      </w:tr>
      <w:tr w:rsidR="00404E20" w:rsidRPr="00F81EB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F81EB6" w:rsidRDefault="00404E20" w:rsidP="00F81EB6">
            <w:pPr>
              <w:jc w:val="left"/>
              <w:rPr>
                <w:rFonts w:ascii="Verdana" w:hAnsi="Verdana" w:cs="Arial"/>
                <w:sz w:val="16"/>
                <w:szCs w:val="16"/>
              </w:rPr>
            </w:pPr>
            <w:r w:rsidRPr="00F81EB6">
              <w:rPr>
                <w:rFonts w:ascii="Verdana" w:hAnsi="Verdana" w:cs="Arial"/>
                <w:sz w:val="16"/>
                <w:szCs w:val="16"/>
              </w:rPr>
              <w:t>Plačilna pravica</w:t>
            </w:r>
            <w:r>
              <w:rPr>
                <w:rFonts w:ascii="Verdana" w:hAnsi="Verdana" w:cs="Arial"/>
                <w:sz w:val="16"/>
                <w:szCs w:val="16"/>
              </w:rPr>
              <w:t xml:space="preserve"> z dodatkom za zeleno komponento</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146874" w:rsidRDefault="00404E20" w:rsidP="00146874">
            <w:pPr>
              <w:jc w:val="left"/>
              <w:rPr>
                <w:rFonts w:ascii="Verdana" w:hAnsi="Verdana" w:cs="Arial"/>
                <w:sz w:val="16"/>
                <w:szCs w:val="16"/>
              </w:rPr>
            </w:pPr>
            <w:r w:rsidRPr="00146874">
              <w:rPr>
                <w:rFonts w:ascii="Verdana" w:hAnsi="Verdana" w:cs="Arial"/>
                <w:sz w:val="16"/>
                <w:szCs w:val="16"/>
              </w:rPr>
              <w:t>EUR/</w:t>
            </w:r>
            <w:r>
              <w:rPr>
                <w:rFonts w:ascii="Verdana" w:hAnsi="Verdana" w:cs="Arial"/>
                <w:sz w:val="16"/>
                <w:szCs w:val="16"/>
              </w:rPr>
              <w:t>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shd w:val="clear" w:color="auto" w:fill="auto"/>
            <w:vAlign w:val="bottom"/>
          </w:tcPr>
          <w:p w:rsidR="00404E20" w:rsidRDefault="00404E20">
            <w:pPr>
              <w:jc w:val="right"/>
              <w:rPr>
                <w:rFonts w:ascii="Verdana" w:hAnsi="Verdana"/>
                <w:color w:val="000000"/>
                <w:sz w:val="16"/>
                <w:szCs w:val="16"/>
              </w:rPr>
            </w:pPr>
            <w:r>
              <w:rPr>
                <w:rFonts w:ascii="Verdana" w:hAnsi="Verdana"/>
                <w:color w:val="000000"/>
                <w:sz w:val="16"/>
                <w:szCs w:val="16"/>
              </w:rPr>
              <w:t>17,06</w:t>
            </w:r>
          </w:p>
        </w:tc>
        <w:tc>
          <w:tcPr>
            <w:tcW w:w="82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17,18</w:t>
            </w:r>
          </w:p>
        </w:tc>
        <w:tc>
          <w:tcPr>
            <w:tcW w:w="99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17,20</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PRAŠIČI</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146874" w:rsidRDefault="00AB7A05" w:rsidP="004A01B2">
            <w:pPr>
              <w:jc w:val="left"/>
              <w:rPr>
                <w:rFonts w:ascii="Verdana" w:hAnsi="Verdana" w:cs="Arial"/>
                <w:sz w:val="16"/>
                <w:szCs w:val="16"/>
              </w:rPr>
            </w:pPr>
            <w:r w:rsidRPr="00146874">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9F7478" w:rsidRDefault="00AB7A05" w:rsidP="005D24AF">
            <w:pPr>
              <w:ind w:right="20"/>
              <w:jc w:val="right"/>
              <w:rPr>
                <w:rFonts w:ascii="Verdana" w:hAnsi="Verdana" w:cs="Arial"/>
                <w:sz w:val="16"/>
                <w:szCs w:val="16"/>
              </w:rPr>
            </w:pPr>
          </w:p>
        </w:tc>
        <w:tc>
          <w:tcPr>
            <w:tcW w:w="82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E03E5D">
            <w:pPr>
              <w:ind w:right="20"/>
              <w:jc w:val="right"/>
              <w:rPr>
                <w:rFonts w:ascii="Verdana" w:hAnsi="Verdana" w:cs="Arial"/>
                <w:sz w:val="16"/>
                <w:szCs w:val="16"/>
              </w:rPr>
            </w:pPr>
          </w:p>
        </w:tc>
        <w:tc>
          <w:tcPr>
            <w:tcW w:w="99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993D74">
            <w:pPr>
              <w:ind w:right="20"/>
              <w:jc w:val="right"/>
              <w:rPr>
                <w:rFonts w:ascii="Verdana" w:hAnsi="Verdana" w:cs="Arial"/>
                <w:sz w:val="16"/>
                <w:szCs w:val="16"/>
              </w:rPr>
            </w:pPr>
          </w:p>
        </w:tc>
      </w:tr>
      <w:tr w:rsidR="00404E20" w:rsidRPr="00F81EB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F81EB6" w:rsidRDefault="00404E20" w:rsidP="00F81EB6">
            <w:pPr>
              <w:jc w:val="left"/>
              <w:rPr>
                <w:rFonts w:ascii="Verdana" w:hAnsi="Verdana" w:cs="Arial"/>
                <w:sz w:val="16"/>
                <w:szCs w:val="16"/>
              </w:rPr>
            </w:pPr>
            <w:r w:rsidRPr="00F81EB6">
              <w:rPr>
                <w:rFonts w:ascii="Verdana" w:hAnsi="Verdana" w:cs="Arial"/>
                <w:sz w:val="16"/>
                <w:szCs w:val="16"/>
              </w:rPr>
              <w:t>Plačilna pravica</w:t>
            </w:r>
            <w:r>
              <w:rPr>
                <w:rFonts w:ascii="Verdana" w:hAnsi="Verdana" w:cs="Arial"/>
                <w:sz w:val="16"/>
                <w:szCs w:val="16"/>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146874" w:rsidRDefault="00404E20" w:rsidP="00146874">
            <w:pPr>
              <w:jc w:val="left"/>
              <w:rPr>
                <w:rFonts w:ascii="Verdana" w:hAnsi="Verdana" w:cs="Arial"/>
                <w:sz w:val="16"/>
                <w:szCs w:val="16"/>
              </w:rPr>
            </w:pPr>
            <w:r w:rsidRPr="00146874">
              <w:rPr>
                <w:rFonts w:ascii="Verdana" w:hAnsi="Verdana" w:cs="Arial"/>
                <w:sz w:val="16"/>
                <w:szCs w:val="16"/>
              </w:rPr>
              <w:t>EUR/</w:t>
            </w:r>
            <w:r>
              <w:rPr>
                <w:rFonts w:ascii="Verdana" w:hAnsi="Verdana" w:cs="Arial"/>
                <w:sz w:val="16"/>
                <w:szCs w:val="16"/>
              </w:rPr>
              <w:t>glavo</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Pr="00365846" w:rsidRDefault="00404E20"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10,38</w:t>
            </w:r>
          </w:p>
        </w:tc>
        <w:tc>
          <w:tcPr>
            <w:tcW w:w="82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10,27</w:t>
            </w:r>
          </w:p>
        </w:tc>
        <w:tc>
          <w:tcPr>
            <w:tcW w:w="993" w:type="dxa"/>
            <w:tcBorders>
              <w:top w:val="single" w:sz="2" w:space="0" w:color="auto"/>
              <w:left w:val="single" w:sz="2" w:space="0" w:color="auto"/>
              <w:bottom w:val="single" w:sz="2" w:space="0" w:color="auto"/>
              <w:right w:val="single" w:sz="2" w:space="0" w:color="auto"/>
            </w:tcBorders>
            <w:vAlign w:val="bottom"/>
          </w:tcPr>
          <w:p w:rsidR="00404E20" w:rsidRDefault="00404E20">
            <w:pPr>
              <w:jc w:val="right"/>
              <w:rPr>
                <w:rFonts w:ascii="Verdana" w:hAnsi="Verdana"/>
                <w:color w:val="000000"/>
                <w:sz w:val="16"/>
                <w:szCs w:val="16"/>
              </w:rPr>
            </w:pPr>
            <w:r>
              <w:rPr>
                <w:rFonts w:ascii="Verdana" w:hAnsi="Verdana"/>
                <w:color w:val="000000"/>
                <w:sz w:val="16"/>
                <w:szCs w:val="16"/>
              </w:rPr>
              <w:t>10,10</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VS</w:t>
            </w:r>
            <w:r>
              <w:rPr>
                <w:rFonts w:ascii="Verdana" w:hAnsi="Verdana" w:cs="Arial"/>
                <w:sz w:val="16"/>
                <w:szCs w:val="16"/>
              </w:rPr>
              <w:t>I</w:t>
            </w:r>
            <w:r w:rsidRPr="00365846">
              <w:rPr>
                <w:rFonts w:ascii="Verdana" w:hAnsi="Verdana" w:cs="Arial"/>
                <w:sz w:val="16"/>
                <w:szCs w:val="16"/>
              </w:rPr>
              <w:t xml:space="preserve"> </w:t>
            </w:r>
            <w:r>
              <w:rPr>
                <w:rFonts w:ascii="Verdana" w:hAnsi="Verdana" w:cs="Arial"/>
                <w:sz w:val="16"/>
                <w:szCs w:val="16"/>
              </w:rPr>
              <w:t>PROIZVODI</w:t>
            </w:r>
          </w:p>
        </w:tc>
        <w:tc>
          <w:tcPr>
            <w:tcW w:w="1134"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 </w:t>
            </w:r>
          </w:p>
        </w:tc>
        <w:tc>
          <w:tcPr>
            <w:tcW w:w="822"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9F7478" w:rsidRDefault="00AB7A05" w:rsidP="005D24AF">
            <w:pPr>
              <w:ind w:right="20"/>
              <w:jc w:val="right"/>
              <w:rPr>
                <w:rFonts w:ascii="Verdana" w:hAnsi="Verdana" w:cs="Arial"/>
                <w:sz w:val="16"/>
                <w:szCs w:val="16"/>
              </w:rPr>
            </w:pPr>
          </w:p>
        </w:tc>
        <w:tc>
          <w:tcPr>
            <w:tcW w:w="82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E03E5D">
            <w:pPr>
              <w:ind w:right="20"/>
              <w:jc w:val="right"/>
              <w:rPr>
                <w:rFonts w:ascii="Verdana" w:hAnsi="Verdana" w:cs="Arial"/>
                <w:sz w:val="16"/>
                <w:szCs w:val="16"/>
              </w:rPr>
            </w:pPr>
          </w:p>
        </w:tc>
        <w:tc>
          <w:tcPr>
            <w:tcW w:w="993" w:type="dxa"/>
            <w:tcBorders>
              <w:top w:val="single" w:sz="2" w:space="0" w:color="auto"/>
              <w:left w:val="single" w:sz="2" w:space="0" w:color="auto"/>
              <w:bottom w:val="single" w:sz="2" w:space="0" w:color="auto"/>
              <w:right w:val="single" w:sz="2" w:space="0" w:color="auto"/>
            </w:tcBorders>
            <w:shd w:val="clear" w:color="auto" w:fill="C0C0C0"/>
            <w:vAlign w:val="bottom"/>
          </w:tcPr>
          <w:p w:rsidR="00AB7A05" w:rsidRPr="00AB7A05" w:rsidRDefault="00AB7A05" w:rsidP="00993D74">
            <w:pPr>
              <w:ind w:right="20"/>
              <w:jc w:val="right"/>
              <w:rPr>
                <w:rFonts w:ascii="Verdana" w:hAnsi="Verdana" w:cs="Arial"/>
                <w:sz w:val="16"/>
                <w:szCs w:val="16"/>
              </w:rPr>
            </w:pP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Default="00AB7A05" w:rsidP="004A01B2">
            <w:pPr>
              <w:jc w:val="left"/>
              <w:rPr>
                <w:rFonts w:ascii="Verdana" w:hAnsi="Verdana" w:cs="Arial"/>
                <w:sz w:val="16"/>
                <w:szCs w:val="16"/>
              </w:rPr>
            </w:pPr>
            <w:r>
              <w:rPr>
                <w:rFonts w:ascii="Verdana" w:hAnsi="Verdana" w:cs="Arial"/>
                <w:sz w:val="16"/>
                <w:szCs w:val="16"/>
              </w:rPr>
              <w:t>Regionalno plačilo za njive</w:t>
            </w:r>
            <w:r>
              <w:rPr>
                <w:rStyle w:val="Sprotnaopomba-sklic"/>
                <w:rFonts w:ascii="Verdana" w:hAnsi="Verdana" w:cs="Arial"/>
                <w:sz w:val="16"/>
                <w:szCs w:val="16"/>
              </w:rPr>
              <w:footnoteReference w:id="16"/>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EUR/ha</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332,0</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9F7478" w:rsidRDefault="00AB7A05" w:rsidP="00EC4F85">
            <w:pPr>
              <w:jc w:val="right"/>
              <w:rPr>
                <w:rFonts w:ascii="Verdana" w:hAnsi="Verdana" w:cs="Arial"/>
                <w:sz w:val="16"/>
                <w:szCs w:val="16"/>
              </w:rPr>
            </w:pPr>
            <w:r w:rsidRPr="009F7478">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jc w:val="right"/>
              <w:rPr>
                <w:rFonts w:ascii="Verdana" w:hAnsi="Verdana" w:cs="Arial"/>
                <w:sz w:val="16"/>
                <w:szCs w:val="16"/>
              </w:rPr>
            </w:pPr>
            <w:r w:rsidRPr="00AB7A05">
              <w:rPr>
                <w:rFonts w:ascii="Verdana" w:hAnsi="Verdana" w:cs="Arial"/>
                <w:sz w:val="16"/>
                <w:szCs w:val="16"/>
              </w:rPr>
              <w:t>-</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Regionalno plačilo</w:t>
            </w:r>
            <w:r>
              <w:rPr>
                <w:rFonts w:ascii="Verdana" w:hAnsi="Verdana" w:cs="Arial"/>
                <w:sz w:val="16"/>
                <w:szCs w:val="16"/>
              </w:rPr>
              <w:t xml:space="preserve"> za travinje</w:t>
            </w:r>
            <w:r>
              <w:rPr>
                <w:rStyle w:val="Sprotnaopomba-sklic"/>
                <w:rFonts w:ascii="Verdana" w:hAnsi="Verdana" w:cs="Arial"/>
                <w:sz w:val="16"/>
                <w:szCs w:val="16"/>
              </w:rPr>
              <w:footnoteReference w:id="17"/>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EUR/ha</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108,7</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jc w:val="right"/>
              <w:rPr>
                <w:rFonts w:ascii="Verdana" w:hAnsi="Verdana" w:cs="Arial"/>
                <w:sz w:val="16"/>
                <w:szCs w:val="16"/>
              </w:rPr>
            </w:pPr>
            <w:r w:rsidRPr="00AB7A05">
              <w:rPr>
                <w:rFonts w:ascii="Verdana" w:hAnsi="Verdana" w:cs="Arial"/>
                <w:sz w:val="16"/>
                <w:szCs w:val="16"/>
              </w:rPr>
              <w:t>-</w:t>
            </w:r>
          </w:p>
        </w:tc>
      </w:tr>
      <w:tr w:rsidR="00AB7A05" w:rsidRPr="00365846" w:rsidTr="002D2D82">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F4FBA" w:rsidRDefault="00AB7A05" w:rsidP="004A01B2">
            <w:pPr>
              <w:jc w:val="left"/>
              <w:rPr>
                <w:rFonts w:ascii="Verdana" w:hAnsi="Verdana" w:cs="Arial"/>
                <w:sz w:val="16"/>
                <w:szCs w:val="16"/>
              </w:rPr>
            </w:pPr>
            <w:r w:rsidRPr="00DF4FBA">
              <w:rPr>
                <w:rFonts w:ascii="Verdana" w:hAnsi="Verdana" w:cs="Arial"/>
                <w:sz w:val="16"/>
                <w:szCs w:val="16"/>
              </w:rPr>
              <w:t xml:space="preserve">Podpora za ohranitev živinoreje na </w:t>
            </w:r>
            <w:r>
              <w:rPr>
                <w:rFonts w:ascii="Verdana" w:hAnsi="Verdana" w:cs="Arial"/>
                <w:sz w:val="16"/>
                <w:szCs w:val="16"/>
              </w:rPr>
              <w:t xml:space="preserve">kmetijskih gospodarstvih s </w:t>
            </w:r>
            <w:r w:rsidRPr="00DF4FBA">
              <w:rPr>
                <w:rFonts w:ascii="Verdana" w:hAnsi="Verdana" w:cs="Arial"/>
                <w:sz w:val="16"/>
                <w:szCs w:val="16"/>
              </w:rPr>
              <w:t>travinj</w:t>
            </w:r>
            <w:r>
              <w:rPr>
                <w:rFonts w:ascii="Verdana" w:hAnsi="Verdana" w:cs="Arial"/>
                <w:sz w:val="16"/>
                <w:szCs w:val="16"/>
              </w:rPr>
              <w:t>em</w:t>
            </w:r>
            <w:r>
              <w:rPr>
                <w:rStyle w:val="Sprotnaopomba-sklic"/>
                <w:rFonts w:ascii="Verdana" w:hAnsi="Verdana" w:cs="Arial"/>
                <w:sz w:val="16"/>
                <w:szCs w:val="16"/>
              </w:rPr>
              <w:footnoteReference w:id="18"/>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EUR/ha</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365846" w:rsidRDefault="00AB7A05" w:rsidP="00EC4F85">
            <w:pPr>
              <w:jc w:val="right"/>
              <w:rPr>
                <w:rFonts w:ascii="Verdana" w:hAnsi="Verdana" w:cs="Arial"/>
                <w:sz w:val="16"/>
                <w:szCs w:val="16"/>
              </w:rPr>
            </w:pPr>
            <w:r>
              <w:rPr>
                <w:rFonts w:ascii="Verdana" w:hAnsi="Verdana" w:cs="Arial"/>
                <w:sz w:val="16"/>
                <w:szCs w:val="16"/>
              </w:rPr>
              <w:t>-</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cs="Arial"/>
                <w:sz w:val="16"/>
                <w:szCs w:val="16"/>
              </w:rPr>
            </w:pPr>
            <w:r>
              <w:rPr>
                <w:rFonts w:ascii="Verdana" w:hAnsi="Verdana" w:cs="Arial"/>
                <w:sz w:val="16"/>
                <w:szCs w:val="16"/>
              </w:rPr>
              <w:t>20,32</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cs="Arial"/>
                <w:sz w:val="16"/>
                <w:szCs w:val="16"/>
              </w:rPr>
            </w:pPr>
            <w:r>
              <w:rPr>
                <w:rFonts w:ascii="Verdana" w:hAnsi="Verdana" w:cs="Arial"/>
                <w:sz w:val="16"/>
                <w:szCs w:val="16"/>
              </w:rPr>
              <w:t>20,32</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cs="Arial"/>
                <w:sz w:val="16"/>
                <w:szCs w:val="16"/>
              </w:rPr>
            </w:pPr>
            <w:r>
              <w:rPr>
                <w:rFonts w:ascii="Verdana" w:hAnsi="Verdana" w:cs="Arial"/>
                <w:sz w:val="16"/>
                <w:szCs w:val="16"/>
              </w:rPr>
              <w:t>20,32</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cs="Arial"/>
                <w:sz w:val="16"/>
                <w:szCs w:val="16"/>
              </w:rPr>
            </w:pPr>
            <w:r>
              <w:rPr>
                <w:rFonts w:ascii="Verdana" w:hAnsi="Verdana" w:cs="Arial"/>
                <w:sz w:val="16"/>
                <w:szCs w:val="16"/>
              </w:rPr>
              <w:t>20,32</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4A01B2">
            <w:pPr>
              <w:jc w:val="right"/>
              <w:rPr>
                <w:rFonts w:ascii="Verdana" w:hAnsi="Verdana" w:cs="Arial"/>
                <w:sz w:val="16"/>
                <w:szCs w:val="16"/>
              </w:rPr>
            </w:pPr>
            <w:r>
              <w:rPr>
                <w:rFonts w:ascii="Verdana" w:hAnsi="Verdana" w:cs="Arial"/>
                <w:sz w:val="16"/>
                <w:szCs w:val="16"/>
              </w:rPr>
              <w:t>20,32</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EC4F85">
            <w:pPr>
              <w:ind w:right="20"/>
              <w:jc w:val="right"/>
              <w:rPr>
                <w:rFonts w:ascii="Verdana" w:hAnsi="Verdana" w:cs="Arial"/>
                <w:sz w:val="16"/>
                <w:szCs w:val="16"/>
              </w:rPr>
            </w:pPr>
            <w:r>
              <w:rPr>
                <w:rFonts w:ascii="Verdana" w:hAnsi="Verdana" w:cs="Arial"/>
                <w:sz w:val="16"/>
                <w:szCs w:val="16"/>
              </w:rPr>
              <w:t>-</w:t>
            </w:r>
          </w:p>
        </w:tc>
        <w:tc>
          <w:tcPr>
            <w:tcW w:w="82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E03E5D">
            <w:pPr>
              <w:ind w:right="20"/>
              <w:jc w:val="right"/>
              <w:rPr>
                <w:rFonts w:ascii="Verdana" w:hAnsi="Verdana" w:cs="Arial"/>
                <w:sz w:val="16"/>
                <w:szCs w:val="16"/>
              </w:rPr>
            </w:pPr>
            <w:r w:rsidRPr="00AB7A05">
              <w:rPr>
                <w:rFonts w:ascii="Verdana" w:hAnsi="Verdana" w:cs="Arial"/>
                <w:sz w:val="16"/>
                <w:szCs w:val="16"/>
              </w:rPr>
              <w:t>-</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ind w:right="20"/>
              <w:jc w:val="right"/>
              <w:rPr>
                <w:rFonts w:ascii="Verdana" w:hAnsi="Verdana" w:cs="Arial"/>
                <w:sz w:val="16"/>
                <w:szCs w:val="16"/>
              </w:rPr>
            </w:pPr>
            <w:r w:rsidRPr="00AB7A05">
              <w:rPr>
                <w:rFonts w:ascii="Verdana" w:hAnsi="Verdana" w:cs="Arial"/>
                <w:sz w:val="16"/>
                <w:szCs w:val="16"/>
              </w:rPr>
              <w:t>-</w:t>
            </w:r>
          </w:p>
        </w:tc>
      </w:tr>
      <w:tr w:rsidR="00AB7A05" w:rsidRPr="00365846" w:rsidTr="0005721C">
        <w:trPr>
          <w:trHeight w:val="227"/>
          <w:tblHeader/>
        </w:trPr>
        <w:tc>
          <w:tcPr>
            <w:tcW w:w="4566"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Vračilo trošarine</w:t>
            </w:r>
            <w:r>
              <w:rPr>
                <w:rStyle w:val="Sprotnaopomba-sklic"/>
                <w:rFonts w:ascii="Verdana" w:hAnsi="Verdana" w:cs="Arial"/>
                <w:sz w:val="16"/>
                <w:szCs w:val="16"/>
              </w:rPr>
              <w:footnoteReference w:id="19"/>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sidRPr="00365846">
              <w:rPr>
                <w:rFonts w:ascii="Verdana" w:hAnsi="Verdana" w:cs="Arial"/>
                <w:sz w:val="16"/>
                <w:szCs w:val="16"/>
              </w:rPr>
              <w:t>EUR/l</w:t>
            </w:r>
          </w:p>
        </w:tc>
        <w:tc>
          <w:tcPr>
            <w:tcW w:w="822" w:type="dxa"/>
            <w:tcBorders>
              <w:top w:val="single" w:sz="2" w:space="0" w:color="auto"/>
              <w:left w:val="single" w:sz="2" w:space="0" w:color="auto"/>
              <w:bottom w:val="single" w:sz="2"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0,158</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0,151</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0,259</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0,301</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0,244</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362F4">
            <w:pPr>
              <w:jc w:val="right"/>
              <w:rPr>
                <w:rFonts w:ascii="Verdana" w:hAnsi="Verdana" w:cs="Arial"/>
                <w:sz w:val="16"/>
                <w:szCs w:val="16"/>
              </w:rPr>
            </w:pPr>
            <w:r>
              <w:rPr>
                <w:rFonts w:ascii="Verdana" w:hAnsi="Verdana" w:cs="Arial"/>
                <w:sz w:val="16"/>
                <w:szCs w:val="16"/>
              </w:rPr>
              <w:t xml:space="preserve">0,265 </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362F4">
            <w:pPr>
              <w:jc w:val="right"/>
              <w:rPr>
                <w:rFonts w:ascii="Verdana" w:hAnsi="Verdana" w:cs="Arial"/>
                <w:sz w:val="16"/>
                <w:szCs w:val="16"/>
              </w:rPr>
            </w:pPr>
            <w:r>
              <w:rPr>
                <w:rFonts w:ascii="Verdana" w:hAnsi="Verdana" w:cs="Arial"/>
                <w:sz w:val="16"/>
                <w:szCs w:val="16"/>
              </w:rPr>
              <w:t>0,285</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Pr="00D26252" w:rsidRDefault="00AB7A05" w:rsidP="004362F4">
            <w:pPr>
              <w:jc w:val="right"/>
              <w:rPr>
                <w:rFonts w:ascii="Verdana" w:hAnsi="Verdana" w:cs="Arial"/>
                <w:sz w:val="16"/>
                <w:szCs w:val="16"/>
              </w:rPr>
            </w:pPr>
            <w:r>
              <w:rPr>
                <w:rFonts w:ascii="Verdana" w:hAnsi="Verdana" w:cs="Arial"/>
                <w:sz w:val="16"/>
                <w:szCs w:val="16"/>
              </w:rPr>
              <w:t>0,291</w:t>
            </w:r>
          </w:p>
        </w:tc>
        <w:tc>
          <w:tcPr>
            <w:tcW w:w="822" w:type="dxa"/>
            <w:tcBorders>
              <w:top w:val="single" w:sz="2" w:space="0" w:color="auto"/>
              <w:left w:val="single" w:sz="2" w:space="0" w:color="auto"/>
              <w:bottom w:val="single" w:sz="2" w:space="0" w:color="auto"/>
              <w:right w:val="single" w:sz="2" w:space="0" w:color="auto"/>
            </w:tcBorders>
            <w:vAlign w:val="bottom"/>
          </w:tcPr>
          <w:p w:rsidR="00AB7A05" w:rsidRDefault="00AB7A05" w:rsidP="005D24AF">
            <w:pPr>
              <w:ind w:right="20"/>
              <w:jc w:val="right"/>
              <w:rPr>
                <w:rFonts w:ascii="Verdana" w:hAnsi="Verdana" w:cs="Arial"/>
                <w:sz w:val="16"/>
                <w:szCs w:val="16"/>
              </w:rPr>
            </w:pPr>
            <w:r>
              <w:rPr>
                <w:rFonts w:ascii="Verdana" w:hAnsi="Verdana" w:cs="Arial"/>
                <w:sz w:val="16"/>
                <w:szCs w:val="16"/>
              </w:rPr>
              <w:t>0,292</w:t>
            </w:r>
          </w:p>
        </w:tc>
        <w:tc>
          <w:tcPr>
            <w:tcW w:w="823" w:type="dxa"/>
            <w:tcBorders>
              <w:top w:val="single" w:sz="2" w:space="0" w:color="auto"/>
              <w:left w:val="single" w:sz="2" w:space="0" w:color="auto"/>
              <w:bottom w:val="single" w:sz="2" w:space="0" w:color="auto"/>
              <w:right w:val="single" w:sz="2" w:space="0" w:color="auto"/>
            </w:tcBorders>
            <w:shd w:val="clear" w:color="auto" w:fill="auto"/>
            <w:vAlign w:val="bottom"/>
          </w:tcPr>
          <w:p w:rsidR="00AB7A05" w:rsidRPr="0005721C" w:rsidRDefault="0005721C" w:rsidP="00E03E5D">
            <w:pPr>
              <w:ind w:right="20"/>
              <w:jc w:val="right"/>
              <w:rPr>
                <w:rFonts w:ascii="Verdana" w:hAnsi="Verdana" w:cs="Arial"/>
                <w:sz w:val="16"/>
                <w:szCs w:val="16"/>
              </w:rPr>
            </w:pPr>
            <w:r w:rsidRPr="0005721C">
              <w:rPr>
                <w:rFonts w:ascii="Verdana" w:hAnsi="Verdana" w:cs="Arial"/>
                <w:sz w:val="16"/>
                <w:szCs w:val="16"/>
              </w:rPr>
              <w:t>0,298</w:t>
            </w:r>
          </w:p>
        </w:tc>
        <w:tc>
          <w:tcPr>
            <w:tcW w:w="993" w:type="dxa"/>
            <w:tcBorders>
              <w:top w:val="single" w:sz="2" w:space="0" w:color="auto"/>
              <w:left w:val="single" w:sz="2" w:space="0" w:color="auto"/>
              <w:bottom w:val="single" w:sz="2" w:space="0" w:color="auto"/>
              <w:right w:val="single" w:sz="2" w:space="0" w:color="auto"/>
            </w:tcBorders>
            <w:vAlign w:val="bottom"/>
          </w:tcPr>
          <w:p w:rsidR="00AB7A05" w:rsidRPr="00AB7A05" w:rsidRDefault="00AB7A05" w:rsidP="00993D74">
            <w:pPr>
              <w:ind w:right="20"/>
              <w:jc w:val="right"/>
              <w:rPr>
                <w:rFonts w:ascii="Verdana" w:hAnsi="Verdana" w:cs="Arial"/>
                <w:sz w:val="16"/>
                <w:szCs w:val="16"/>
              </w:rPr>
            </w:pPr>
            <w:r w:rsidRPr="00AB7A05">
              <w:rPr>
                <w:rStyle w:val="Sprotnaopomba-sklic"/>
                <w:rFonts w:ascii="Verdana" w:hAnsi="Verdana" w:cs="Arial"/>
                <w:sz w:val="16"/>
                <w:szCs w:val="16"/>
              </w:rPr>
              <w:footnoteReference w:id="20"/>
            </w:r>
          </w:p>
        </w:tc>
      </w:tr>
      <w:tr w:rsidR="00AB7A05" w:rsidRPr="00365846" w:rsidTr="002D2D82">
        <w:trPr>
          <w:trHeight w:val="227"/>
          <w:tblHeader/>
        </w:trPr>
        <w:tc>
          <w:tcPr>
            <w:tcW w:w="4566" w:type="dxa"/>
            <w:tcBorders>
              <w:top w:val="single" w:sz="2" w:space="0" w:color="auto"/>
              <w:left w:val="single" w:sz="2" w:space="0" w:color="auto"/>
              <w:bottom w:val="single" w:sz="4" w:space="0" w:color="auto"/>
              <w:right w:val="single" w:sz="2" w:space="0" w:color="auto"/>
            </w:tcBorders>
            <w:shd w:val="clear" w:color="auto" w:fill="auto"/>
            <w:noWrap/>
            <w:vAlign w:val="bottom"/>
          </w:tcPr>
          <w:p w:rsidR="00AB7A05" w:rsidRPr="00365846" w:rsidRDefault="00AB7A05" w:rsidP="004A01B2">
            <w:pPr>
              <w:jc w:val="left"/>
              <w:rPr>
                <w:rFonts w:ascii="Verdana" w:hAnsi="Verdana" w:cs="Arial"/>
                <w:sz w:val="16"/>
                <w:szCs w:val="16"/>
              </w:rPr>
            </w:pPr>
            <w:r>
              <w:rPr>
                <w:rFonts w:ascii="Verdana" w:hAnsi="Verdana" w:cs="Arial"/>
                <w:sz w:val="16"/>
                <w:szCs w:val="16"/>
              </w:rPr>
              <w:t xml:space="preserve">Regresiranje </w:t>
            </w:r>
            <w:r w:rsidRPr="00365846">
              <w:rPr>
                <w:rFonts w:ascii="Verdana" w:hAnsi="Verdana" w:cs="Arial"/>
                <w:sz w:val="16"/>
                <w:szCs w:val="16"/>
              </w:rPr>
              <w:t>zavarovanja</w:t>
            </w:r>
            <w:r>
              <w:rPr>
                <w:rStyle w:val="Sprotnaopomba-sklic"/>
                <w:rFonts w:ascii="Verdana" w:hAnsi="Verdana" w:cs="Arial"/>
                <w:sz w:val="16"/>
                <w:szCs w:val="16"/>
              </w:rPr>
              <w:footnoteReference w:id="21"/>
            </w:r>
          </w:p>
        </w:tc>
        <w:tc>
          <w:tcPr>
            <w:tcW w:w="1134" w:type="dxa"/>
            <w:tcBorders>
              <w:top w:val="single" w:sz="2" w:space="0" w:color="auto"/>
              <w:left w:val="single" w:sz="2" w:space="0" w:color="auto"/>
              <w:bottom w:val="single" w:sz="4" w:space="0" w:color="auto"/>
              <w:right w:val="single" w:sz="2" w:space="0" w:color="auto"/>
            </w:tcBorders>
            <w:shd w:val="clear" w:color="auto" w:fill="auto"/>
            <w:noWrap/>
            <w:vAlign w:val="bottom"/>
          </w:tcPr>
          <w:p w:rsidR="00AB7A05" w:rsidRPr="00D26252" w:rsidRDefault="00AB7A05" w:rsidP="004A01B2">
            <w:pPr>
              <w:jc w:val="left"/>
              <w:rPr>
                <w:rFonts w:ascii="Verdana" w:hAnsi="Verdana" w:cs="Arial"/>
                <w:sz w:val="16"/>
                <w:szCs w:val="16"/>
              </w:rPr>
            </w:pPr>
            <w:r w:rsidRPr="00D26252">
              <w:rPr>
                <w:rFonts w:ascii="Verdana" w:hAnsi="Verdana" w:cs="Arial"/>
                <w:sz w:val="16"/>
                <w:szCs w:val="16"/>
              </w:rPr>
              <w:t>premija</w:t>
            </w:r>
          </w:p>
        </w:tc>
        <w:tc>
          <w:tcPr>
            <w:tcW w:w="822" w:type="dxa"/>
            <w:tcBorders>
              <w:top w:val="single" w:sz="2" w:space="0" w:color="auto"/>
              <w:left w:val="single" w:sz="2" w:space="0" w:color="auto"/>
              <w:bottom w:val="single" w:sz="4" w:space="0" w:color="auto"/>
              <w:right w:val="single" w:sz="2" w:space="0" w:color="auto"/>
            </w:tcBorders>
            <w:shd w:val="clear" w:color="auto" w:fill="auto"/>
            <w:noWrap/>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50%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50%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sidRPr="00D26252">
              <w:rPr>
                <w:rFonts w:ascii="Verdana" w:hAnsi="Verdana" w:cs="Arial"/>
                <w:sz w:val="16"/>
                <w:szCs w:val="16"/>
              </w:rPr>
              <w:t>50%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3</w:t>
            </w:r>
            <w:r w:rsidRPr="00D26252">
              <w:rPr>
                <w:rFonts w:ascii="Verdana" w:hAnsi="Verdana" w:cs="Arial"/>
                <w:sz w:val="16"/>
                <w:szCs w:val="16"/>
              </w:rPr>
              <w:t>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3</w:t>
            </w:r>
            <w:r w:rsidRPr="00D26252">
              <w:rPr>
                <w:rFonts w:ascii="Verdana" w:hAnsi="Verdana" w:cs="Arial"/>
                <w:sz w:val="16"/>
                <w:szCs w:val="16"/>
              </w:rPr>
              <w:t>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3</w:t>
            </w:r>
            <w:r w:rsidRPr="00D26252">
              <w:rPr>
                <w:rFonts w:ascii="Verdana" w:hAnsi="Verdana" w:cs="Arial"/>
                <w:sz w:val="16"/>
                <w:szCs w:val="16"/>
              </w:rPr>
              <w:t>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3</w:t>
            </w:r>
            <w:r w:rsidRPr="00D26252">
              <w:rPr>
                <w:rFonts w:ascii="Verdana" w:hAnsi="Verdana" w:cs="Arial"/>
                <w:sz w:val="16"/>
                <w:szCs w:val="16"/>
              </w:rPr>
              <w:t>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Pr="00D26252" w:rsidRDefault="00AB7A05" w:rsidP="004A01B2">
            <w:pPr>
              <w:jc w:val="right"/>
              <w:rPr>
                <w:rFonts w:ascii="Verdana" w:hAnsi="Verdana" w:cs="Arial"/>
                <w:sz w:val="16"/>
                <w:szCs w:val="16"/>
              </w:rPr>
            </w:pPr>
            <w:r>
              <w:rPr>
                <w:rFonts w:ascii="Verdana" w:hAnsi="Verdana" w:cs="Arial"/>
                <w:sz w:val="16"/>
                <w:szCs w:val="16"/>
              </w:rPr>
              <w:t>3</w:t>
            </w:r>
            <w:r w:rsidRPr="00D26252">
              <w:rPr>
                <w:rFonts w:ascii="Verdana" w:hAnsi="Verdana" w:cs="Arial"/>
                <w:sz w:val="16"/>
                <w:szCs w:val="16"/>
              </w:rPr>
              <w:t>0%</w:t>
            </w:r>
          </w:p>
        </w:tc>
        <w:tc>
          <w:tcPr>
            <w:tcW w:w="822" w:type="dxa"/>
            <w:tcBorders>
              <w:top w:val="single" w:sz="2" w:space="0" w:color="auto"/>
              <w:left w:val="single" w:sz="2" w:space="0" w:color="auto"/>
              <w:bottom w:val="single" w:sz="4" w:space="0" w:color="auto"/>
              <w:right w:val="single" w:sz="2" w:space="0" w:color="auto"/>
            </w:tcBorders>
            <w:vAlign w:val="bottom"/>
          </w:tcPr>
          <w:p w:rsidR="00AB7A05" w:rsidRDefault="00AB7A05" w:rsidP="005D24AF">
            <w:pPr>
              <w:ind w:right="20"/>
              <w:jc w:val="right"/>
              <w:rPr>
                <w:rFonts w:ascii="Verdana" w:hAnsi="Verdana" w:cs="Arial"/>
                <w:sz w:val="16"/>
                <w:szCs w:val="16"/>
              </w:rPr>
            </w:pPr>
            <w:r>
              <w:rPr>
                <w:rFonts w:ascii="Verdana" w:hAnsi="Verdana" w:cs="Arial"/>
                <w:sz w:val="16"/>
                <w:szCs w:val="16"/>
              </w:rPr>
              <w:t>2</w:t>
            </w:r>
            <w:r w:rsidRPr="00D26252">
              <w:rPr>
                <w:rFonts w:ascii="Verdana" w:hAnsi="Verdana" w:cs="Arial"/>
                <w:sz w:val="16"/>
                <w:szCs w:val="16"/>
              </w:rPr>
              <w:t>0%</w:t>
            </w:r>
          </w:p>
        </w:tc>
        <w:tc>
          <w:tcPr>
            <w:tcW w:w="823" w:type="dxa"/>
            <w:tcBorders>
              <w:top w:val="single" w:sz="2" w:space="0" w:color="auto"/>
              <w:left w:val="single" w:sz="2" w:space="0" w:color="auto"/>
              <w:bottom w:val="single" w:sz="4" w:space="0" w:color="auto"/>
              <w:right w:val="single" w:sz="2" w:space="0" w:color="auto"/>
            </w:tcBorders>
            <w:vAlign w:val="bottom"/>
          </w:tcPr>
          <w:p w:rsidR="00AB7A05" w:rsidRPr="00AB7A05" w:rsidRDefault="00AB7A05" w:rsidP="00E03E5D">
            <w:pPr>
              <w:ind w:right="20"/>
              <w:jc w:val="right"/>
              <w:rPr>
                <w:rFonts w:ascii="Verdana" w:hAnsi="Verdana" w:cs="Arial"/>
                <w:sz w:val="16"/>
                <w:szCs w:val="16"/>
              </w:rPr>
            </w:pPr>
            <w:r w:rsidRPr="00AB7A05">
              <w:rPr>
                <w:rFonts w:ascii="Verdana" w:hAnsi="Verdana" w:cs="Arial"/>
                <w:sz w:val="16"/>
                <w:szCs w:val="16"/>
              </w:rPr>
              <w:t>20%</w:t>
            </w:r>
          </w:p>
        </w:tc>
        <w:tc>
          <w:tcPr>
            <w:tcW w:w="993" w:type="dxa"/>
            <w:tcBorders>
              <w:top w:val="single" w:sz="2" w:space="0" w:color="auto"/>
              <w:left w:val="single" w:sz="2" w:space="0" w:color="auto"/>
              <w:bottom w:val="single" w:sz="4" w:space="0" w:color="auto"/>
              <w:right w:val="single" w:sz="2" w:space="0" w:color="auto"/>
            </w:tcBorders>
            <w:vAlign w:val="bottom"/>
          </w:tcPr>
          <w:p w:rsidR="00AB7A05" w:rsidRPr="00AB7A05" w:rsidRDefault="00787EC9" w:rsidP="00E03E5D">
            <w:pPr>
              <w:ind w:right="20"/>
              <w:jc w:val="right"/>
              <w:rPr>
                <w:rFonts w:ascii="Verdana" w:hAnsi="Verdana" w:cs="Arial"/>
                <w:sz w:val="16"/>
                <w:szCs w:val="16"/>
              </w:rPr>
            </w:pPr>
            <w:r w:rsidRPr="00AB7A05">
              <w:rPr>
                <w:rFonts w:ascii="Verdana" w:hAnsi="Verdana" w:cs="Arial"/>
                <w:sz w:val="16"/>
                <w:szCs w:val="16"/>
              </w:rPr>
              <w:t>20%</w:t>
            </w:r>
          </w:p>
        </w:tc>
      </w:tr>
    </w:tbl>
    <w:p w:rsidR="00EA57FF" w:rsidRDefault="00EA57FF" w:rsidP="00787EC9">
      <w:pPr>
        <w:ind w:left="-709"/>
        <w:rPr>
          <w:rFonts w:ascii="Verdana" w:hAnsi="Verdana" w:cs="Arial"/>
          <w:sz w:val="16"/>
          <w:szCs w:val="16"/>
        </w:rPr>
      </w:pPr>
    </w:p>
    <w:sectPr w:rsidR="00EA57FF" w:rsidSect="00DF4FBA">
      <w:pgSz w:w="16838" w:h="11906" w:orient="landscape"/>
      <w:pgMar w:top="1134" w:right="1418" w:bottom="107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5D" w:rsidRDefault="00E03E5D">
      <w:r>
        <w:separator/>
      </w:r>
    </w:p>
  </w:endnote>
  <w:endnote w:type="continuationSeparator" w:id="0">
    <w:p w:rsidR="00E03E5D" w:rsidRDefault="00E0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5D" w:rsidRDefault="00E03E5D" w:rsidP="003B159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03E5D" w:rsidRDefault="00E03E5D" w:rsidP="006532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E5D" w:rsidRDefault="00E03E5D" w:rsidP="0065326F">
    <w:pPr>
      <w:pStyle w:val="Nog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04264"/>
      <w:docPartObj>
        <w:docPartGallery w:val="Page Numbers (Bottom of Page)"/>
        <w:docPartUnique/>
      </w:docPartObj>
    </w:sdtPr>
    <w:sdtEndPr/>
    <w:sdtContent>
      <w:p w:rsidR="00E03E5D" w:rsidRDefault="00E03E5D">
        <w:pPr>
          <w:pStyle w:val="Noga"/>
          <w:jc w:val="center"/>
        </w:pPr>
        <w:r>
          <w:fldChar w:fldCharType="begin"/>
        </w:r>
        <w:r>
          <w:instrText>PAGE   \* MERGEFORMAT</w:instrText>
        </w:r>
        <w:r>
          <w:fldChar w:fldCharType="separate"/>
        </w:r>
        <w:r w:rsidR="001D561F">
          <w:rPr>
            <w:noProof/>
          </w:rPr>
          <w:t>11</w:t>
        </w:r>
        <w:r>
          <w:fldChar w:fldCharType="end"/>
        </w:r>
      </w:p>
    </w:sdtContent>
  </w:sdt>
  <w:p w:rsidR="00E03E5D" w:rsidRDefault="00E03E5D" w:rsidP="006532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5D" w:rsidRDefault="00E03E5D">
      <w:r>
        <w:separator/>
      </w:r>
    </w:p>
  </w:footnote>
  <w:footnote w:type="continuationSeparator" w:id="0">
    <w:p w:rsidR="00E03E5D" w:rsidRDefault="00E03E5D">
      <w:r>
        <w:continuationSeparator/>
      </w:r>
    </w:p>
  </w:footnote>
  <w:footnote w:id="1">
    <w:p w:rsidR="00E03E5D" w:rsidRPr="002145C3" w:rsidRDefault="00E03E5D" w:rsidP="008D6320">
      <w:pPr>
        <w:rPr>
          <w:rFonts w:cs="Arial"/>
          <w:sz w:val="16"/>
          <w:szCs w:val="16"/>
        </w:rPr>
      </w:pPr>
      <w:r>
        <w:rPr>
          <w:rStyle w:val="Sprotnaopomba-sklic"/>
        </w:rPr>
        <w:footnoteRef/>
      </w:r>
      <w:r>
        <w:rPr>
          <w:rFonts w:ascii="Verdana" w:hAnsi="Verdana" w:cs="Arial"/>
          <w:sz w:val="16"/>
          <w:szCs w:val="16"/>
        </w:rPr>
        <w:t xml:space="preserve"> U</w:t>
      </w:r>
      <w:r w:rsidRPr="00365846">
        <w:rPr>
          <w:rFonts w:ascii="Verdana" w:hAnsi="Verdana" w:cs="Arial"/>
          <w:sz w:val="16"/>
          <w:szCs w:val="16"/>
        </w:rPr>
        <w:t>poštevan</w:t>
      </w:r>
      <w:r>
        <w:rPr>
          <w:rFonts w:ascii="Verdana" w:hAnsi="Verdana" w:cs="Arial"/>
          <w:sz w:val="16"/>
          <w:szCs w:val="16"/>
        </w:rPr>
        <w:t>o</w:t>
      </w:r>
      <w:r w:rsidRPr="00365846">
        <w:rPr>
          <w:rFonts w:ascii="Verdana" w:hAnsi="Verdana" w:cs="Arial"/>
          <w:sz w:val="16"/>
          <w:szCs w:val="16"/>
        </w:rPr>
        <w:t xml:space="preserve"> na strani stroškov (zm</w:t>
      </w:r>
      <w:r>
        <w:rPr>
          <w:rFonts w:ascii="Verdana" w:hAnsi="Verdana" w:cs="Arial"/>
          <w:sz w:val="16"/>
          <w:szCs w:val="16"/>
        </w:rPr>
        <w:t>a</w:t>
      </w:r>
      <w:r w:rsidRPr="00365846">
        <w:rPr>
          <w:rFonts w:ascii="Verdana" w:hAnsi="Verdana" w:cs="Arial"/>
          <w:sz w:val="16"/>
          <w:szCs w:val="16"/>
        </w:rPr>
        <w:t>njšani stroški)</w:t>
      </w:r>
      <w:r>
        <w:rPr>
          <w:rFonts w:ascii="Verdana" w:hAnsi="Verdana" w:cs="Arial"/>
          <w:sz w:val="16"/>
          <w:szCs w:val="16"/>
        </w:rPr>
        <w:t>,</w:t>
      </w:r>
      <w:r w:rsidRPr="00365846">
        <w:rPr>
          <w:rFonts w:ascii="Verdana" w:hAnsi="Verdana" w:cs="Arial"/>
          <w:sz w:val="16"/>
          <w:szCs w:val="16"/>
        </w:rPr>
        <w:t xml:space="preserve"> ostal</w:t>
      </w:r>
      <w:r>
        <w:rPr>
          <w:rFonts w:ascii="Verdana" w:hAnsi="Verdana" w:cs="Arial"/>
          <w:sz w:val="16"/>
          <w:szCs w:val="16"/>
        </w:rPr>
        <w:t>e</w:t>
      </w:r>
      <w:r w:rsidRPr="00365846">
        <w:rPr>
          <w:rFonts w:ascii="Verdana" w:hAnsi="Verdana" w:cs="Arial"/>
          <w:sz w:val="16"/>
          <w:szCs w:val="16"/>
        </w:rPr>
        <w:t xml:space="preserve"> </w:t>
      </w:r>
      <w:r>
        <w:rPr>
          <w:rFonts w:ascii="Verdana" w:hAnsi="Verdana" w:cs="Arial"/>
          <w:sz w:val="16"/>
          <w:szCs w:val="16"/>
        </w:rPr>
        <w:t xml:space="preserve">podpora pa </w:t>
      </w:r>
      <w:r w:rsidRPr="00365846">
        <w:rPr>
          <w:rFonts w:ascii="Verdana" w:hAnsi="Verdana" w:cs="Arial"/>
          <w:sz w:val="16"/>
          <w:szCs w:val="16"/>
        </w:rPr>
        <w:t>na strani prihodka</w:t>
      </w:r>
      <w:r>
        <w:rPr>
          <w:rFonts w:ascii="Verdana" w:hAnsi="Verdana" w:cs="Arial"/>
          <w:sz w:val="16"/>
          <w:szCs w:val="16"/>
        </w:rPr>
        <w:t>.</w:t>
      </w:r>
    </w:p>
  </w:footnote>
  <w:footnote w:id="2">
    <w:p w:rsidR="00CB4B80" w:rsidRPr="00ED112D" w:rsidRDefault="00CB4B80" w:rsidP="002145C3">
      <w:pPr>
        <w:pStyle w:val="Sprotnaopomba-besedilo"/>
        <w:contextualSpacing/>
        <w:rPr>
          <w:rFonts w:ascii="Verdana" w:hAnsi="Verdana"/>
          <w:sz w:val="16"/>
          <w:szCs w:val="16"/>
        </w:rPr>
      </w:pPr>
      <w:r>
        <w:rPr>
          <w:rStyle w:val="Sprotnaopomba-sklic"/>
        </w:rPr>
        <w:footnoteRef/>
      </w:r>
      <w:r>
        <w:t xml:space="preserve"> </w:t>
      </w:r>
      <w:r>
        <w:rPr>
          <w:rFonts w:ascii="Verdana" w:hAnsi="Verdana"/>
          <w:sz w:val="16"/>
          <w:szCs w:val="16"/>
        </w:rPr>
        <w:t>Ocena</w:t>
      </w:r>
      <w:r w:rsidRPr="00ED112D">
        <w:rPr>
          <w:rFonts w:ascii="Verdana" w:hAnsi="Verdana"/>
          <w:sz w:val="16"/>
          <w:szCs w:val="16"/>
        </w:rPr>
        <w:t xml:space="preserve"> na podlagi Uredbe o shemah neposrednih plačil (UL RS št. 2/15, 23/15, 30/15</w:t>
      </w:r>
      <w:r>
        <w:rPr>
          <w:rFonts w:ascii="Verdana" w:hAnsi="Verdana"/>
          <w:sz w:val="16"/>
          <w:szCs w:val="16"/>
        </w:rPr>
        <w:t>, 103/15, 36/16, 84/16</w:t>
      </w:r>
      <w:r w:rsidRPr="00ED112D">
        <w:rPr>
          <w:rFonts w:ascii="Verdana" w:hAnsi="Verdana"/>
          <w:sz w:val="16"/>
          <w:szCs w:val="16"/>
        </w:rPr>
        <w:t>)</w:t>
      </w:r>
      <w:r w:rsidRPr="00ED112D">
        <w:rPr>
          <w:rFonts w:ascii="Verdana" w:hAnsi="Verdana"/>
        </w:rPr>
        <w:t xml:space="preserve"> </w:t>
      </w:r>
      <w:r w:rsidRPr="00ED112D">
        <w:rPr>
          <w:rFonts w:ascii="Verdana" w:hAnsi="Verdana"/>
          <w:sz w:val="16"/>
          <w:szCs w:val="16"/>
        </w:rPr>
        <w:t xml:space="preserve">in </w:t>
      </w:r>
      <w:r>
        <w:rPr>
          <w:rFonts w:ascii="Verdana" w:hAnsi="Verdana"/>
          <w:sz w:val="16"/>
          <w:szCs w:val="16"/>
        </w:rPr>
        <w:t>podatkov</w:t>
      </w:r>
      <w:r w:rsidRPr="00ED112D">
        <w:rPr>
          <w:rFonts w:ascii="Verdana" w:hAnsi="Verdana"/>
          <w:sz w:val="16"/>
          <w:szCs w:val="16"/>
        </w:rPr>
        <w:t xml:space="preserve"> MKGP</w:t>
      </w:r>
      <w:r>
        <w:rPr>
          <w:rFonts w:ascii="Verdana" w:hAnsi="Verdana"/>
          <w:sz w:val="16"/>
          <w:szCs w:val="16"/>
        </w:rPr>
        <w:t>.</w:t>
      </w:r>
    </w:p>
  </w:footnote>
  <w:footnote w:id="3">
    <w:p w:rsidR="00404E20" w:rsidRPr="00270845" w:rsidRDefault="00404E20" w:rsidP="005B3815">
      <w:pPr>
        <w:pStyle w:val="Sprotnaopomba-besedilo"/>
        <w:contextualSpacing/>
        <w:rPr>
          <w:rFonts w:ascii="Verdana" w:hAnsi="Verdana"/>
          <w:sz w:val="16"/>
          <w:szCs w:val="16"/>
        </w:rPr>
      </w:pPr>
      <w:r>
        <w:rPr>
          <w:rStyle w:val="Sprotnaopomba-sklic"/>
        </w:rPr>
        <w:footnoteRef/>
      </w:r>
      <w:r>
        <w:rPr>
          <w:rFonts w:ascii="Verdana" w:hAnsi="Verdana"/>
          <w:sz w:val="16"/>
          <w:szCs w:val="16"/>
        </w:rPr>
        <w:t xml:space="preserve"> Plačilna pravica določena na podlagi začetne vrednosti v višini regionalnega plačila v letu 2014, brez morebitnih zgodovinskih dodatkov (332,0 EUR/ha).</w:t>
      </w:r>
    </w:p>
  </w:footnote>
  <w:footnote w:id="4">
    <w:p w:rsidR="00CB4B80" w:rsidRPr="002145C3" w:rsidRDefault="00CB4B80">
      <w:pPr>
        <w:pStyle w:val="Sprotnaopomba-besedilo"/>
        <w:rPr>
          <w:rFonts w:ascii="Verdana" w:hAnsi="Verdana"/>
          <w:sz w:val="16"/>
          <w:szCs w:val="16"/>
        </w:rPr>
      </w:pPr>
      <w:r>
        <w:rPr>
          <w:rStyle w:val="Sprotnaopomba-sklic"/>
        </w:rPr>
        <w:footnoteRef/>
      </w:r>
      <w:r>
        <w:t xml:space="preserve"> </w:t>
      </w:r>
      <w:r w:rsidRPr="002145C3">
        <w:rPr>
          <w:rFonts w:ascii="Verdana" w:hAnsi="Verdana"/>
          <w:sz w:val="16"/>
          <w:szCs w:val="16"/>
        </w:rPr>
        <w:t>80</w:t>
      </w:r>
      <w:r>
        <w:rPr>
          <w:rFonts w:ascii="Verdana" w:hAnsi="Verdana"/>
          <w:sz w:val="16"/>
          <w:szCs w:val="16"/>
        </w:rPr>
        <w:t xml:space="preserve"> </w:t>
      </w:r>
      <w:r w:rsidRPr="002145C3">
        <w:rPr>
          <w:rFonts w:ascii="Verdana" w:hAnsi="Verdana"/>
          <w:sz w:val="16"/>
          <w:szCs w:val="16"/>
        </w:rPr>
        <w:t xml:space="preserve">% </w:t>
      </w:r>
      <w:r>
        <w:rPr>
          <w:rFonts w:ascii="Verdana" w:hAnsi="Verdana"/>
          <w:sz w:val="16"/>
          <w:szCs w:val="16"/>
        </w:rPr>
        <w:t>regionalnega plačila za glavne posevek ajde in  30 % regionalnega plačila za strniščni posevek ajde</w:t>
      </w:r>
    </w:p>
  </w:footnote>
  <w:footnote w:id="5">
    <w:p w:rsidR="00CB4B80" w:rsidRPr="00035D38" w:rsidRDefault="00CB4B80">
      <w:pPr>
        <w:pStyle w:val="Sprotnaopomba-besedilo"/>
        <w:rPr>
          <w:rFonts w:ascii="Verdana" w:hAnsi="Verdana"/>
          <w:sz w:val="16"/>
          <w:szCs w:val="16"/>
        </w:rPr>
      </w:pPr>
      <w:r>
        <w:rPr>
          <w:rStyle w:val="Sprotnaopomba-sklic"/>
        </w:rPr>
        <w:footnoteRef/>
      </w:r>
      <w:r>
        <w:t xml:space="preserve"> </w:t>
      </w:r>
      <w:r w:rsidRPr="002145C3">
        <w:rPr>
          <w:rFonts w:ascii="Verdana" w:hAnsi="Verdana"/>
          <w:sz w:val="16"/>
          <w:szCs w:val="16"/>
        </w:rPr>
        <w:t>80</w:t>
      </w:r>
      <w:r>
        <w:rPr>
          <w:rFonts w:ascii="Verdana" w:hAnsi="Verdana"/>
          <w:sz w:val="16"/>
          <w:szCs w:val="16"/>
        </w:rPr>
        <w:t xml:space="preserve"> </w:t>
      </w:r>
      <w:r w:rsidRPr="002145C3">
        <w:rPr>
          <w:rFonts w:ascii="Verdana" w:hAnsi="Verdana"/>
          <w:sz w:val="16"/>
          <w:szCs w:val="16"/>
        </w:rPr>
        <w:t xml:space="preserve">% </w:t>
      </w:r>
      <w:r>
        <w:rPr>
          <w:rFonts w:ascii="Verdana" w:hAnsi="Verdana"/>
          <w:sz w:val="16"/>
          <w:szCs w:val="16"/>
        </w:rPr>
        <w:t>plačilne pravice in plačila za zeleno komponento za glavni posevek ajde in  30 % plačilne pravice in plačila za zeleno komponento za strniščni posevek ajde</w:t>
      </w:r>
    </w:p>
  </w:footnote>
  <w:footnote w:id="6">
    <w:p w:rsidR="00404E20" w:rsidRDefault="00404E20" w:rsidP="005B3815">
      <w:pPr>
        <w:pStyle w:val="Sprotnaopomba-besedilo"/>
        <w:contextualSpacing/>
        <w:rPr>
          <w:rFonts w:ascii="Verdana" w:hAnsi="Verdana"/>
          <w:sz w:val="16"/>
          <w:szCs w:val="16"/>
        </w:rPr>
      </w:pPr>
      <w:r>
        <w:rPr>
          <w:rStyle w:val="Sprotnaopomba-sklic"/>
        </w:rPr>
        <w:footnoteRef/>
      </w:r>
      <w:r>
        <w:t xml:space="preserve"> </w:t>
      </w:r>
      <w:r>
        <w:rPr>
          <w:rFonts w:ascii="Verdana" w:hAnsi="Verdana"/>
          <w:sz w:val="16"/>
          <w:szCs w:val="16"/>
        </w:rPr>
        <w:t>Plačilna pravica določena na podlagi začetne vrednosti v višini regionalnega plačila v letu 2014, brez morebitnih zgodovinskih dodatkov (108,7 EUR/ha).</w:t>
      </w:r>
    </w:p>
    <w:p w:rsidR="00404E20" w:rsidRPr="00572844" w:rsidRDefault="00404E20" w:rsidP="005B3815">
      <w:pPr>
        <w:pStyle w:val="Sprotnaopomba-besedilo"/>
        <w:contextualSpacing/>
        <w:rPr>
          <w:rFonts w:ascii="Verdana" w:hAnsi="Verdana"/>
          <w:sz w:val="16"/>
          <w:szCs w:val="16"/>
        </w:rPr>
      </w:pPr>
      <w:r w:rsidRPr="008E4EF8">
        <w:rPr>
          <w:rStyle w:val="Sprotnaopomba-sklic"/>
          <w:rFonts w:ascii="Verdana" w:hAnsi="Verdana"/>
        </w:rPr>
        <w:t>*</w:t>
      </w:r>
      <w:r w:rsidRPr="008E4EF8">
        <w:rPr>
          <w:rStyle w:val="Sprotnaopomba-sklic"/>
        </w:rPr>
        <w:t xml:space="preserve"> </w:t>
      </w:r>
      <w:r w:rsidRPr="008E4EF8">
        <w:rPr>
          <w:rFonts w:ascii="Verdana" w:hAnsi="Verdana"/>
          <w:sz w:val="16"/>
          <w:szCs w:val="16"/>
        </w:rPr>
        <w:t>Prva ocena za leto 2017</w:t>
      </w:r>
      <w:r>
        <w:rPr>
          <w:rFonts w:ascii="Verdana" w:hAnsi="Verdana"/>
          <w:sz w:val="16"/>
          <w:szCs w:val="16"/>
        </w:rPr>
        <w:t xml:space="preserve"> (</w:t>
      </w:r>
      <w:r w:rsidR="001D561F">
        <w:rPr>
          <w:rFonts w:ascii="Verdana" w:hAnsi="Verdana"/>
          <w:sz w:val="16"/>
          <w:szCs w:val="16"/>
        </w:rPr>
        <w:t xml:space="preserve">razen za PVP strna žita in </w:t>
      </w:r>
      <w:r w:rsidR="001D561F">
        <w:rPr>
          <w:rFonts w:ascii="Verdana" w:hAnsi="Verdana"/>
          <w:sz w:val="16"/>
          <w:szCs w:val="16"/>
        </w:rPr>
        <w:t>zelenjadnice</w:t>
      </w:r>
      <w:bookmarkStart w:id="6" w:name="_GoBack"/>
      <w:bookmarkEnd w:id="6"/>
      <w:r w:rsidR="001D561F">
        <w:rPr>
          <w:rFonts w:ascii="Verdana" w:hAnsi="Verdana"/>
          <w:sz w:val="16"/>
          <w:szCs w:val="16"/>
        </w:rPr>
        <w:t xml:space="preserve">, </w:t>
      </w:r>
      <w:r>
        <w:rPr>
          <w:rFonts w:ascii="Verdana" w:hAnsi="Verdana"/>
          <w:sz w:val="16"/>
          <w:szCs w:val="16"/>
        </w:rPr>
        <w:t>upoštevane enake višine proizvodno vezanih plačil kot v letu 2016).</w:t>
      </w:r>
    </w:p>
  </w:footnote>
  <w:footnote w:id="7">
    <w:p w:rsidR="00CB4B80" w:rsidRDefault="00CB4B80" w:rsidP="00A9036D">
      <w:r>
        <w:rPr>
          <w:rStyle w:val="Sprotnaopomba-sklic"/>
        </w:rPr>
        <w:footnoteRef/>
      </w:r>
      <w:r>
        <w:t xml:space="preserve"> </w:t>
      </w:r>
      <w:r>
        <w:rPr>
          <w:rFonts w:ascii="Verdana" w:hAnsi="Verdana" w:cs="Arial"/>
          <w:sz w:val="16"/>
          <w:szCs w:val="16"/>
        </w:rPr>
        <w:t>U</w:t>
      </w:r>
      <w:r w:rsidRPr="00365846">
        <w:rPr>
          <w:rFonts w:ascii="Verdana" w:hAnsi="Verdana" w:cs="Arial"/>
          <w:sz w:val="16"/>
          <w:szCs w:val="16"/>
        </w:rPr>
        <w:t>poštevan</w:t>
      </w:r>
      <w:r>
        <w:rPr>
          <w:rFonts w:ascii="Verdana" w:hAnsi="Verdana" w:cs="Arial"/>
          <w:sz w:val="16"/>
          <w:szCs w:val="16"/>
        </w:rPr>
        <w:t>o</w:t>
      </w:r>
      <w:r w:rsidRPr="00365846">
        <w:rPr>
          <w:rFonts w:ascii="Verdana" w:hAnsi="Verdana" w:cs="Arial"/>
          <w:sz w:val="16"/>
          <w:szCs w:val="16"/>
        </w:rPr>
        <w:t xml:space="preserve"> na strani stroškov (zm</w:t>
      </w:r>
      <w:r>
        <w:rPr>
          <w:rFonts w:ascii="Verdana" w:hAnsi="Verdana" w:cs="Arial"/>
          <w:sz w:val="16"/>
          <w:szCs w:val="16"/>
        </w:rPr>
        <w:t>a</w:t>
      </w:r>
      <w:r w:rsidRPr="00365846">
        <w:rPr>
          <w:rFonts w:ascii="Verdana" w:hAnsi="Verdana" w:cs="Arial"/>
          <w:sz w:val="16"/>
          <w:szCs w:val="16"/>
        </w:rPr>
        <w:t>njšani stroški)</w:t>
      </w:r>
      <w:r>
        <w:rPr>
          <w:rFonts w:ascii="Verdana" w:hAnsi="Verdana" w:cs="Arial"/>
          <w:sz w:val="16"/>
          <w:szCs w:val="16"/>
        </w:rPr>
        <w:t>,</w:t>
      </w:r>
      <w:r w:rsidRPr="00365846">
        <w:rPr>
          <w:rFonts w:ascii="Verdana" w:hAnsi="Verdana" w:cs="Arial"/>
          <w:sz w:val="16"/>
          <w:szCs w:val="16"/>
        </w:rPr>
        <w:t xml:space="preserve"> ostal</w:t>
      </w:r>
      <w:r>
        <w:rPr>
          <w:rFonts w:ascii="Verdana" w:hAnsi="Verdana" w:cs="Arial"/>
          <w:sz w:val="16"/>
          <w:szCs w:val="16"/>
        </w:rPr>
        <w:t>e</w:t>
      </w:r>
      <w:r w:rsidRPr="00365846">
        <w:rPr>
          <w:rFonts w:ascii="Verdana" w:hAnsi="Verdana" w:cs="Arial"/>
          <w:sz w:val="16"/>
          <w:szCs w:val="16"/>
        </w:rPr>
        <w:t xml:space="preserve"> </w:t>
      </w:r>
      <w:r>
        <w:rPr>
          <w:rFonts w:ascii="Verdana" w:hAnsi="Verdana" w:cs="Arial"/>
          <w:sz w:val="16"/>
          <w:szCs w:val="16"/>
        </w:rPr>
        <w:t xml:space="preserve">podpora pa </w:t>
      </w:r>
      <w:r w:rsidRPr="00365846">
        <w:rPr>
          <w:rFonts w:ascii="Verdana" w:hAnsi="Verdana" w:cs="Arial"/>
          <w:sz w:val="16"/>
          <w:szCs w:val="16"/>
        </w:rPr>
        <w:t>na strani prihodka</w:t>
      </w:r>
      <w:r>
        <w:rPr>
          <w:rFonts w:ascii="Verdana" w:hAnsi="Verdana" w:cs="Arial"/>
          <w:sz w:val="16"/>
          <w:szCs w:val="16"/>
        </w:rPr>
        <w:t>.</w:t>
      </w:r>
    </w:p>
  </w:footnote>
  <w:footnote w:id="8">
    <w:p w:rsidR="00CB4B80" w:rsidRDefault="00CB4B80">
      <w:pPr>
        <w:pStyle w:val="Sprotnaopomba-besedilo"/>
      </w:pPr>
      <w:r>
        <w:rPr>
          <w:rStyle w:val="Sprotnaopomba-sklic"/>
        </w:rPr>
        <w:footnoteRef/>
      </w:r>
      <w:r>
        <w:t xml:space="preserve"> </w:t>
      </w:r>
      <w:r>
        <w:rPr>
          <w:rFonts w:ascii="Verdana" w:hAnsi="Verdana" w:cs="Arial"/>
          <w:sz w:val="16"/>
          <w:szCs w:val="16"/>
        </w:rPr>
        <w:t>Razen za sadje, kjer je sofinanciranje 30 %.</w:t>
      </w:r>
    </w:p>
  </w:footnote>
  <w:footnote w:id="9">
    <w:p w:rsidR="008E4EF8" w:rsidRDefault="008E4EF8">
      <w:pPr>
        <w:pStyle w:val="Sprotnaopomba-besedilo"/>
      </w:pPr>
      <w:r>
        <w:rPr>
          <w:rStyle w:val="Sprotnaopomba-sklic"/>
        </w:rPr>
        <w:footnoteRef/>
      </w:r>
      <w:r>
        <w:t xml:space="preserve"> </w:t>
      </w:r>
      <w:r>
        <w:rPr>
          <w:rFonts w:ascii="Verdana" w:hAnsi="Verdana" w:cs="Arial"/>
          <w:sz w:val="16"/>
          <w:szCs w:val="16"/>
        </w:rPr>
        <w:t>Razen za sadje, kjer je sofinanciranje 40 %, in grozdje, kjer je sofinanciranje 30 %.</w:t>
      </w:r>
    </w:p>
  </w:footnote>
  <w:footnote w:id="10">
    <w:p w:rsidR="00E03E5D" w:rsidRDefault="00E03E5D">
      <w:pPr>
        <w:pStyle w:val="Sprotnaopomba-besedilo"/>
      </w:pPr>
      <w:r>
        <w:rPr>
          <w:rStyle w:val="Sprotnaopomba-sklic"/>
        </w:rPr>
        <w:footnoteRef/>
      </w:r>
      <w:r>
        <w:t xml:space="preserve"> </w:t>
      </w:r>
      <w:r>
        <w:rPr>
          <w:rFonts w:ascii="Verdana" w:hAnsi="Verdana" w:cs="Arial"/>
          <w:sz w:val="16"/>
          <w:szCs w:val="16"/>
        </w:rPr>
        <w:t>Velja za tržno leto (od 01.04. tekočega leta do 31.03 naslednjega leta); dodatno plačilo izračunano ob upoštevanju dejanske izkoriščenosti kvot.</w:t>
      </w:r>
    </w:p>
  </w:footnote>
  <w:footnote w:id="11">
    <w:p w:rsidR="00E03E5D" w:rsidRDefault="00E03E5D">
      <w:pPr>
        <w:pStyle w:val="Sprotnaopomba-besedilo"/>
      </w:pPr>
      <w:r>
        <w:rPr>
          <w:rStyle w:val="Sprotnaopomba-sklic"/>
        </w:rPr>
        <w:footnoteRef/>
      </w:r>
      <w:r>
        <w:t xml:space="preserve"> </w:t>
      </w:r>
      <w:r>
        <w:rPr>
          <w:rFonts w:ascii="Verdana" w:hAnsi="Verdana" w:cs="Arial"/>
          <w:sz w:val="16"/>
          <w:szCs w:val="16"/>
        </w:rPr>
        <w:t>Veljalo samo za zakol v obdobju od 01.03. do 30.06.2003.</w:t>
      </w:r>
    </w:p>
  </w:footnote>
  <w:footnote w:id="12">
    <w:p w:rsidR="00E03E5D" w:rsidRDefault="00E03E5D">
      <w:pPr>
        <w:pStyle w:val="Sprotnaopomba-besedilo"/>
      </w:pPr>
      <w:r>
        <w:rPr>
          <w:rStyle w:val="Sprotnaopomba-sklic"/>
        </w:rPr>
        <w:footnoteRef/>
      </w:r>
      <w:r>
        <w:t xml:space="preserve"> </w:t>
      </w:r>
      <w:r>
        <w:rPr>
          <w:rFonts w:ascii="Verdana" w:hAnsi="Verdana" w:cs="Arial"/>
          <w:sz w:val="16"/>
          <w:szCs w:val="16"/>
        </w:rPr>
        <w:t>Upoštevano glede na površine za pridelovanje domače krme, izračunane iz krmnega obroka.</w:t>
      </w:r>
    </w:p>
  </w:footnote>
  <w:footnote w:id="13">
    <w:p w:rsidR="00E03E5D" w:rsidRDefault="00E03E5D">
      <w:pPr>
        <w:pStyle w:val="Sprotnaopomba-besedilo"/>
      </w:pPr>
      <w:r>
        <w:rPr>
          <w:rStyle w:val="Sprotnaopomba-sklic"/>
        </w:rPr>
        <w:footnoteRef/>
      </w:r>
      <w:r>
        <w:t xml:space="preserve"> </w:t>
      </w:r>
      <w:r>
        <w:rPr>
          <w:rFonts w:ascii="Verdana" w:hAnsi="Verdana" w:cs="Arial"/>
          <w:sz w:val="16"/>
          <w:szCs w:val="16"/>
        </w:rPr>
        <w:t>Upoštevano glede na porabo goriva, skupaj s pridelavo domače krme.</w:t>
      </w:r>
    </w:p>
  </w:footnote>
  <w:footnote w:id="14">
    <w:p w:rsidR="00AB7A05" w:rsidRDefault="00AB7A05">
      <w:pPr>
        <w:pStyle w:val="Sprotnaopomba-besedilo"/>
      </w:pPr>
      <w:r>
        <w:rPr>
          <w:rStyle w:val="Sprotnaopomba-sklic"/>
        </w:rPr>
        <w:footnoteRef/>
      </w:r>
      <w:r>
        <w:t xml:space="preserve"> </w:t>
      </w:r>
      <w:r>
        <w:rPr>
          <w:rFonts w:ascii="Verdana" w:hAnsi="Verdana"/>
          <w:sz w:val="16"/>
          <w:szCs w:val="16"/>
        </w:rPr>
        <w:t>Ocene</w:t>
      </w:r>
      <w:r w:rsidRPr="00ED112D">
        <w:rPr>
          <w:rFonts w:ascii="Verdana" w:hAnsi="Verdana"/>
          <w:sz w:val="16"/>
          <w:szCs w:val="16"/>
        </w:rPr>
        <w:t xml:space="preserve"> na podlagi Uredbe o shemah neposrednih plačil (UL RS št. 2/15, 23/15, 30/15</w:t>
      </w:r>
      <w:r>
        <w:rPr>
          <w:rFonts w:ascii="Verdana" w:hAnsi="Verdana"/>
          <w:sz w:val="16"/>
          <w:szCs w:val="16"/>
        </w:rPr>
        <w:t>, 103/15, 36/16, 84/16</w:t>
      </w:r>
      <w:r w:rsidRPr="00ED112D">
        <w:rPr>
          <w:rFonts w:ascii="Verdana" w:hAnsi="Verdana"/>
          <w:sz w:val="16"/>
          <w:szCs w:val="16"/>
        </w:rPr>
        <w:t>)</w:t>
      </w:r>
      <w:r w:rsidRPr="00ED112D">
        <w:rPr>
          <w:rFonts w:ascii="Verdana" w:hAnsi="Verdana"/>
        </w:rPr>
        <w:t xml:space="preserve"> </w:t>
      </w:r>
      <w:r w:rsidRPr="00ED112D">
        <w:rPr>
          <w:rFonts w:ascii="Verdana" w:hAnsi="Verdana"/>
          <w:sz w:val="16"/>
          <w:szCs w:val="16"/>
        </w:rPr>
        <w:t xml:space="preserve">in </w:t>
      </w:r>
      <w:r>
        <w:rPr>
          <w:rFonts w:ascii="Verdana" w:hAnsi="Verdana"/>
          <w:sz w:val="16"/>
          <w:szCs w:val="16"/>
        </w:rPr>
        <w:t>podatkov</w:t>
      </w:r>
      <w:r w:rsidRPr="00ED112D">
        <w:rPr>
          <w:rFonts w:ascii="Verdana" w:hAnsi="Verdana"/>
          <w:sz w:val="16"/>
          <w:szCs w:val="16"/>
        </w:rPr>
        <w:t xml:space="preserve"> MKGP</w:t>
      </w:r>
      <w:r>
        <w:rPr>
          <w:rFonts w:ascii="Verdana" w:hAnsi="Verdana"/>
          <w:sz w:val="16"/>
          <w:szCs w:val="16"/>
        </w:rPr>
        <w:t>.</w:t>
      </w:r>
    </w:p>
  </w:footnote>
  <w:footnote w:id="15">
    <w:p w:rsidR="00AB7A05" w:rsidRDefault="00AB7A05">
      <w:pPr>
        <w:pStyle w:val="Sprotnaopomba-besedilo"/>
      </w:pPr>
      <w:r>
        <w:rPr>
          <w:rStyle w:val="Sprotnaopomba-sklic"/>
        </w:rPr>
        <w:footnoteRef/>
      </w:r>
      <w:r>
        <w:t xml:space="preserve"> </w:t>
      </w:r>
      <w:r>
        <w:rPr>
          <w:rFonts w:ascii="Verdana" w:hAnsi="Verdana" w:cs="Arial"/>
          <w:sz w:val="16"/>
          <w:szCs w:val="16"/>
        </w:rPr>
        <w:t>Velja za tržno leto (od 01.04. tekočega leta do 31.03 naslednjega leta); dodatno plačilo izračunano ob upoštevanju dejanske izkoriščenosti kvot.</w:t>
      </w:r>
    </w:p>
  </w:footnote>
  <w:footnote w:id="16">
    <w:p w:rsidR="00AB7A05" w:rsidRDefault="00AB7A05">
      <w:pPr>
        <w:pStyle w:val="Sprotnaopomba-besedilo"/>
      </w:pPr>
      <w:r>
        <w:rPr>
          <w:rStyle w:val="Sprotnaopomba-sklic"/>
        </w:rPr>
        <w:footnoteRef/>
      </w:r>
      <w:r>
        <w:t xml:space="preserve"> </w:t>
      </w:r>
      <w:r>
        <w:rPr>
          <w:rFonts w:ascii="Verdana" w:hAnsi="Verdana" w:cs="Arial"/>
          <w:sz w:val="16"/>
          <w:szCs w:val="16"/>
        </w:rPr>
        <w:t>Upoštevano glede na površine za pridelovanje domače krme, izračunane iz krmnega obroka.</w:t>
      </w:r>
    </w:p>
  </w:footnote>
  <w:footnote w:id="17">
    <w:p w:rsidR="00AB7A05" w:rsidRDefault="00AB7A05">
      <w:pPr>
        <w:pStyle w:val="Sprotnaopomba-besedilo"/>
      </w:pPr>
      <w:r>
        <w:rPr>
          <w:rStyle w:val="Sprotnaopomba-sklic"/>
        </w:rPr>
        <w:footnoteRef/>
      </w:r>
      <w:r>
        <w:t xml:space="preserve"> </w:t>
      </w:r>
      <w:r>
        <w:rPr>
          <w:rFonts w:ascii="Verdana" w:hAnsi="Verdana" w:cs="Arial"/>
          <w:sz w:val="16"/>
          <w:szCs w:val="16"/>
        </w:rPr>
        <w:t>Upoštevano glede na površine za pridelovanje domače krme, izračunane iz krmnega obroka.</w:t>
      </w:r>
    </w:p>
  </w:footnote>
  <w:footnote w:id="18">
    <w:p w:rsidR="00AB7A05" w:rsidRDefault="00AB7A05">
      <w:pPr>
        <w:pStyle w:val="Sprotnaopomba-besedilo"/>
      </w:pPr>
      <w:r>
        <w:rPr>
          <w:rStyle w:val="Sprotnaopomba-sklic"/>
        </w:rPr>
        <w:footnoteRef/>
      </w:r>
      <w:r>
        <w:t xml:space="preserve"> </w:t>
      </w:r>
      <w:r>
        <w:rPr>
          <w:rFonts w:ascii="Verdana" w:hAnsi="Verdana" w:cs="Arial"/>
          <w:sz w:val="16"/>
          <w:szCs w:val="16"/>
        </w:rPr>
        <w:t>Upoštevano glede na površine za pridelovanje domače krme, izračunane iz krmnega obroka.</w:t>
      </w:r>
    </w:p>
  </w:footnote>
  <w:footnote w:id="19">
    <w:p w:rsidR="00AB7A05" w:rsidRDefault="00AB7A05">
      <w:pPr>
        <w:pStyle w:val="Sprotnaopomba-besedilo"/>
      </w:pPr>
      <w:r>
        <w:rPr>
          <w:rStyle w:val="Sprotnaopomba-sklic"/>
        </w:rPr>
        <w:footnoteRef/>
      </w:r>
      <w:r>
        <w:t xml:space="preserve"> </w:t>
      </w:r>
      <w:r>
        <w:rPr>
          <w:rFonts w:ascii="Verdana" w:hAnsi="Verdana" w:cs="Arial"/>
          <w:sz w:val="16"/>
          <w:szCs w:val="16"/>
        </w:rPr>
        <w:t>Upoštevano glede na porabo goriva, skupaj s pridelavo domače krme.</w:t>
      </w:r>
    </w:p>
  </w:footnote>
  <w:footnote w:id="20">
    <w:p w:rsidR="00AB7A05" w:rsidRDefault="00AB7A05">
      <w:pPr>
        <w:pStyle w:val="Sprotnaopomba-besedilo"/>
      </w:pPr>
      <w:r>
        <w:rPr>
          <w:rStyle w:val="Sprotnaopomba-sklic"/>
        </w:rPr>
        <w:footnoteRef/>
      </w:r>
      <w:r>
        <w:t xml:space="preserve"> </w:t>
      </w:r>
      <w:r>
        <w:rPr>
          <w:rFonts w:ascii="Verdana" w:hAnsi="Verdana" w:cs="Arial"/>
          <w:sz w:val="16"/>
          <w:szCs w:val="16"/>
        </w:rPr>
        <w:t>Različno po mesecih.</w:t>
      </w:r>
    </w:p>
  </w:footnote>
  <w:footnote w:id="21">
    <w:p w:rsidR="00AB7A05" w:rsidRDefault="00AB7A05">
      <w:pPr>
        <w:pStyle w:val="Sprotnaopomba-besedilo"/>
        <w:rPr>
          <w:rFonts w:ascii="Verdana" w:hAnsi="Verdana" w:cs="Arial"/>
          <w:sz w:val="16"/>
          <w:szCs w:val="16"/>
        </w:rPr>
      </w:pPr>
      <w:r>
        <w:rPr>
          <w:rStyle w:val="Sprotnaopomba-sklic"/>
        </w:rPr>
        <w:footnoteRef/>
      </w:r>
      <w:r>
        <w:t xml:space="preserve"> </w:t>
      </w:r>
      <w:r>
        <w:rPr>
          <w:rFonts w:ascii="Verdana" w:hAnsi="Verdana" w:cs="Arial"/>
          <w:sz w:val="16"/>
          <w:szCs w:val="16"/>
        </w:rPr>
        <w:t>U</w:t>
      </w:r>
      <w:r w:rsidRPr="00365846">
        <w:rPr>
          <w:rFonts w:ascii="Verdana" w:hAnsi="Verdana" w:cs="Arial"/>
          <w:sz w:val="16"/>
          <w:szCs w:val="16"/>
        </w:rPr>
        <w:t>poštevan</w:t>
      </w:r>
      <w:r>
        <w:rPr>
          <w:rFonts w:ascii="Verdana" w:hAnsi="Verdana" w:cs="Arial"/>
          <w:sz w:val="16"/>
          <w:szCs w:val="16"/>
        </w:rPr>
        <w:t>o</w:t>
      </w:r>
      <w:r w:rsidRPr="00365846">
        <w:rPr>
          <w:rFonts w:ascii="Verdana" w:hAnsi="Verdana" w:cs="Arial"/>
          <w:sz w:val="16"/>
          <w:szCs w:val="16"/>
        </w:rPr>
        <w:t xml:space="preserve"> na strani stroškov (zm</w:t>
      </w:r>
      <w:r>
        <w:rPr>
          <w:rFonts w:ascii="Verdana" w:hAnsi="Verdana" w:cs="Arial"/>
          <w:sz w:val="16"/>
          <w:szCs w:val="16"/>
        </w:rPr>
        <w:t>a</w:t>
      </w:r>
      <w:r w:rsidRPr="00365846">
        <w:rPr>
          <w:rFonts w:ascii="Verdana" w:hAnsi="Verdana" w:cs="Arial"/>
          <w:sz w:val="16"/>
          <w:szCs w:val="16"/>
        </w:rPr>
        <w:t>njšani stroški)</w:t>
      </w:r>
      <w:r>
        <w:rPr>
          <w:rFonts w:ascii="Verdana" w:hAnsi="Verdana" w:cs="Arial"/>
          <w:sz w:val="16"/>
          <w:szCs w:val="16"/>
        </w:rPr>
        <w:t>,</w:t>
      </w:r>
      <w:r w:rsidRPr="00365846">
        <w:rPr>
          <w:rFonts w:ascii="Verdana" w:hAnsi="Verdana" w:cs="Arial"/>
          <w:sz w:val="16"/>
          <w:szCs w:val="16"/>
        </w:rPr>
        <w:t xml:space="preserve"> ostal</w:t>
      </w:r>
      <w:r>
        <w:rPr>
          <w:rFonts w:ascii="Verdana" w:hAnsi="Verdana" w:cs="Arial"/>
          <w:sz w:val="16"/>
          <w:szCs w:val="16"/>
        </w:rPr>
        <w:t>e</w:t>
      </w:r>
      <w:r w:rsidRPr="00365846">
        <w:rPr>
          <w:rFonts w:ascii="Verdana" w:hAnsi="Verdana" w:cs="Arial"/>
          <w:sz w:val="16"/>
          <w:szCs w:val="16"/>
        </w:rPr>
        <w:t xml:space="preserve"> </w:t>
      </w:r>
      <w:r>
        <w:rPr>
          <w:rFonts w:ascii="Verdana" w:hAnsi="Verdana" w:cs="Arial"/>
          <w:sz w:val="16"/>
          <w:szCs w:val="16"/>
        </w:rPr>
        <w:t xml:space="preserve">podpora pa </w:t>
      </w:r>
      <w:r w:rsidRPr="00365846">
        <w:rPr>
          <w:rFonts w:ascii="Verdana" w:hAnsi="Verdana" w:cs="Arial"/>
          <w:sz w:val="16"/>
          <w:szCs w:val="16"/>
        </w:rPr>
        <w:t>na strani prihodka</w:t>
      </w:r>
      <w:r>
        <w:rPr>
          <w:rFonts w:ascii="Verdana" w:hAnsi="Verdana" w:cs="Arial"/>
          <w:sz w:val="16"/>
          <w:szCs w:val="16"/>
        </w:rPr>
        <w:t>.</w:t>
      </w:r>
    </w:p>
    <w:p w:rsidR="00787EC9" w:rsidRDefault="00787EC9">
      <w:pPr>
        <w:pStyle w:val="Sprotnaopomba-besedilo"/>
      </w:pPr>
      <w:r w:rsidRPr="008E4EF8">
        <w:rPr>
          <w:rStyle w:val="Sprotnaopomba-sklic"/>
          <w:rFonts w:ascii="Verdana" w:hAnsi="Verdana"/>
        </w:rPr>
        <w:t>*</w:t>
      </w:r>
      <w:r w:rsidRPr="008E4EF8">
        <w:rPr>
          <w:rStyle w:val="Sprotnaopomba-sklic"/>
        </w:rPr>
        <w:t xml:space="preserve"> </w:t>
      </w:r>
      <w:r w:rsidRPr="008E4EF8">
        <w:rPr>
          <w:rFonts w:ascii="Verdana" w:hAnsi="Verdana"/>
          <w:sz w:val="16"/>
          <w:szCs w:val="16"/>
        </w:rPr>
        <w:t>Prva ocena za leto 2017</w:t>
      </w:r>
      <w:r>
        <w:rPr>
          <w:rFonts w:ascii="Verdana" w:hAnsi="Verdana"/>
          <w:sz w:val="16"/>
          <w:szCs w:val="16"/>
        </w:rPr>
        <w:t xml:space="preserve"> (upoštevane enake višine proizvodno vezanih plačil kot v letu 2016).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F32AAB"/>
    <w:multiLevelType w:val="hybridMultilevel"/>
    <w:tmpl w:val="3EC43AB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22C7D6C"/>
    <w:multiLevelType w:val="hybridMultilevel"/>
    <w:tmpl w:val="9234655E"/>
    <w:lvl w:ilvl="0" w:tplc="9650F2EA">
      <w:start w:val="1"/>
      <w:numFmt w:val="decimal"/>
      <w:lvlText w:val="%1)"/>
      <w:lvlJc w:val="left"/>
      <w:pPr>
        <w:tabs>
          <w:tab w:val="num" w:pos="720"/>
        </w:tabs>
        <w:ind w:left="720" w:hanging="360"/>
      </w:pPr>
      <w:rPr>
        <w:rFonts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7D809E8"/>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4">
    <w:nsid w:val="09BD3CCF"/>
    <w:multiLevelType w:val="singleLevel"/>
    <w:tmpl w:val="2E84EA78"/>
    <w:lvl w:ilvl="0">
      <w:numFmt w:val="bullet"/>
      <w:lvlText w:val="-"/>
      <w:lvlJc w:val="left"/>
      <w:pPr>
        <w:tabs>
          <w:tab w:val="num" w:pos="473"/>
        </w:tabs>
        <w:ind w:left="360" w:hanging="247"/>
      </w:pPr>
      <w:rPr>
        <w:rFonts w:hint="default"/>
      </w:rPr>
    </w:lvl>
  </w:abstractNum>
  <w:abstractNum w:abstractNumId="5">
    <w:nsid w:val="0BCE008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6">
    <w:nsid w:val="100D77E9"/>
    <w:multiLevelType w:val="hybridMultilevel"/>
    <w:tmpl w:val="E72064C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1175F1C"/>
    <w:multiLevelType w:val="multilevel"/>
    <w:tmpl w:val="CCA465FE"/>
    <w:lvl w:ilvl="0">
      <w:start w:val="1"/>
      <w:numFmt w:val="decimal"/>
      <w:pStyle w:val="Naslov1"/>
      <w:lvlText w:val="%1"/>
      <w:lvlJc w:val="left"/>
      <w:pPr>
        <w:tabs>
          <w:tab w:val="num" w:pos="432"/>
        </w:tabs>
        <w:ind w:left="432" w:hanging="432"/>
      </w:pPr>
    </w:lvl>
    <w:lvl w:ilvl="1">
      <w:start w:val="1"/>
      <w:numFmt w:val="decimal"/>
      <w:pStyle w:val="Naslov2"/>
      <w:lvlText w:val="%1.%2"/>
      <w:lvlJc w:val="left"/>
      <w:pPr>
        <w:tabs>
          <w:tab w:val="num" w:pos="576"/>
        </w:tabs>
        <w:ind w:left="576" w:hanging="576"/>
      </w:pPr>
    </w:lvl>
    <w:lvl w:ilvl="2">
      <w:start w:val="1"/>
      <w:numFmt w:val="decimal"/>
      <w:pStyle w:val="Naslov3"/>
      <w:lvlText w:val="%1.%2.%3"/>
      <w:lvlJc w:val="left"/>
      <w:pPr>
        <w:tabs>
          <w:tab w:val="num" w:pos="720"/>
        </w:tabs>
        <w:ind w:left="720" w:hanging="720"/>
      </w:pPr>
    </w:lvl>
    <w:lvl w:ilvl="3">
      <w:start w:val="1"/>
      <w:numFmt w:val="decimal"/>
      <w:pStyle w:val="Naslov4"/>
      <w:lvlText w:val="%1.%2.%3.%4"/>
      <w:lvlJc w:val="left"/>
      <w:pPr>
        <w:tabs>
          <w:tab w:val="num" w:pos="864"/>
        </w:tabs>
        <w:ind w:left="864" w:hanging="864"/>
      </w:p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8">
    <w:nsid w:val="16DC2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9">
    <w:nsid w:val="17B375A9"/>
    <w:multiLevelType w:val="hybridMultilevel"/>
    <w:tmpl w:val="65E46B6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24C696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1">
    <w:nsid w:val="237277A7"/>
    <w:multiLevelType w:val="hybridMultilevel"/>
    <w:tmpl w:val="15B40B00"/>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5CB1C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nsid w:val="2E1E7431"/>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4">
    <w:nsid w:val="35EE16E8"/>
    <w:multiLevelType w:val="hybridMultilevel"/>
    <w:tmpl w:val="D1C4C2CE"/>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47F831BE"/>
    <w:multiLevelType w:val="hybridMultilevel"/>
    <w:tmpl w:val="F12CC3E0"/>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262C33C">
      <w:numFmt w:val="bullet"/>
      <w:lvlText w:val="-"/>
      <w:lvlJc w:val="left"/>
      <w:pPr>
        <w:tabs>
          <w:tab w:val="num" w:pos="2140"/>
        </w:tabs>
        <w:ind w:left="2140" w:hanging="340"/>
      </w:pPr>
      <w:rPr>
        <w:rFonts w:ascii="Times New Roman" w:eastAsia="Times New Roman" w:hAnsi="Times New Roman" w:cs="Times New Roman"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4CFA50C9"/>
    <w:multiLevelType w:val="hybridMultilevel"/>
    <w:tmpl w:val="C7D2633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4FDE4008"/>
    <w:multiLevelType w:val="hybridMultilevel"/>
    <w:tmpl w:val="DC7AC5DA"/>
    <w:lvl w:ilvl="0" w:tplc="04240019">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nsid w:val="55852376"/>
    <w:multiLevelType w:val="singleLevel"/>
    <w:tmpl w:val="8FAE72C6"/>
    <w:lvl w:ilvl="0">
      <w:start w:val="1"/>
      <w:numFmt w:val="bullet"/>
      <w:lvlText w:val=""/>
      <w:lvlJc w:val="left"/>
      <w:pPr>
        <w:tabs>
          <w:tab w:val="num" w:pos="360"/>
        </w:tabs>
        <w:ind w:left="360" w:hanging="360"/>
      </w:pPr>
      <w:rPr>
        <w:rFonts w:ascii="Symbol" w:hAnsi="Symbol" w:hint="default"/>
      </w:rPr>
    </w:lvl>
  </w:abstractNum>
  <w:abstractNum w:abstractNumId="19">
    <w:nsid w:val="59D2181E"/>
    <w:multiLevelType w:val="multilevel"/>
    <w:tmpl w:val="D5E0929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5A3A303D"/>
    <w:multiLevelType w:val="hybridMultilevel"/>
    <w:tmpl w:val="9234655E"/>
    <w:lvl w:ilvl="0" w:tplc="9650F2EA">
      <w:start w:val="1"/>
      <w:numFmt w:val="decimal"/>
      <w:lvlText w:val="%1)"/>
      <w:lvlJc w:val="left"/>
      <w:pPr>
        <w:tabs>
          <w:tab w:val="num" w:pos="720"/>
        </w:tabs>
        <w:ind w:left="720" w:hanging="360"/>
      </w:pPr>
      <w:rPr>
        <w:rFonts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5AF53762"/>
    <w:multiLevelType w:val="hybridMultilevel"/>
    <w:tmpl w:val="E0801A5C"/>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D6A7B52"/>
    <w:multiLevelType w:val="hybridMultilevel"/>
    <w:tmpl w:val="BA84EE4C"/>
    <w:lvl w:ilvl="0" w:tplc="691A60CC">
      <w:start w:val="1"/>
      <w:numFmt w:val="decimal"/>
      <w:lvlText w:val="%1)"/>
      <w:lvlJc w:val="left"/>
      <w:pPr>
        <w:tabs>
          <w:tab w:val="num" w:pos="720"/>
        </w:tabs>
        <w:ind w:left="720" w:hanging="360"/>
      </w:pPr>
      <w:rPr>
        <w:rFonts w:hint="default"/>
        <w:sz w:val="16"/>
        <w:szCs w:val="16"/>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6553696B"/>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4">
    <w:nsid w:val="6ADE2067"/>
    <w:multiLevelType w:val="hybridMultilevel"/>
    <w:tmpl w:val="AF1C7A74"/>
    <w:lvl w:ilvl="0" w:tplc="04240001">
      <w:start w:val="1"/>
      <w:numFmt w:val="bullet"/>
      <w:lvlText w:val=""/>
      <w:lvlJc w:val="left"/>
      <w:pPr>
        <w:tabs>
          <w:tab w:val="num" w:pos="795"/>
        </w:tabs>
        <w:ind w:left="795" w:hanging="360"/>
      </w:pPr>
      <w:rPr>
        <w:rFonts w:ascii="Symbol" w:hAnsi="Symbol" w:hint="default"/>
      </w:rPr>
    </w:lvl>
    <w:lvl w:ilvl="1" w:tplc="04240003" w:tentative="1">
      <w:start w:val="1"/>
      <w:numFmt w:val="bullet"/>
      <w:lvlText w:val="o"/>
      <w:lvlJc w:val="left"/>
      <w:pPr>
        <w:tabs>
          <w:tab w:val="num" w:pos="1515"/>
        </w:tabs>
        <w:ind w:left="1515" w:hanging="360"/>
      </w:pPr>
      <w:rPr>
        <w:rFonts w:ascii="Courier New" w:hAnsi="Courier New" w:cs="Courier New" w:hint="default"/>
      </w:rPr>
    </w:lvl>
    <w:lvl w:ilvl="2" w:tplc="04240005" w:tentative="1">
      <w:start w:val="1"/>
      <w:numFmt w:val="bullet"/>
      <w:lvlText w:val=""/>
      <w:lvlJc w:val="left"/>
      <w:pPr>
        <w:tabs>
          <w:tab w:val="num" w:pos="2235"/>
        </w:tabs>
        <w:ind w:left="2235" w:hanging="360"/>
      </w:pPr>
      <w:rPr>
        <w:rFonts w:ascii="Wingdings" w:hAnsi="Wingdings" w:hint="default"/>
      </w:rPr>
    </w:lvl>
    <w:lvl w:ilvl="3" w:tplc="04240001" w:tentative="1">
      <w:start w:val="1"/>
      <w:numFmt w:val="bullet"/>
      <w:lvlText w:val=""/>
      <w:lvlJc w:val="left"/>
      <w:pPr>
        <w:tabs>
          <w:tab w:val="num" w:pos="2955"/>
        </w:tabs>
        <w:ind w:left="2955" w:hanging="360"/>
      </w:pPr>
      <w:rPr>
        <w:rFonts w:ascii="Symbol" w:hAnsi="Symbol" w:hint="default"/>
      </w:rPr>
    </w:lvl>
    <w:lvl w:ilvl="4" w:tplc="04240003" w:tentative="1">
      <w:start w:val="1"/>
      <w:numFmt w:val="bullet"/>
      <w:lvlText w:val="o"/>
      <w:lvlJc w:val="left"/>
      <w:pPr>
        <w:tabs>
          <w:tab w:val="num" w:pos="3675"/>
        </w:tabs>
        <w:ind w:left="3675" w:hanging="360"/>
      </w:pPr>
      <w:rPr>
        <w:rFonts w:ascii="Courier New" w:hAnsi="Courier New" w:cs="Courier New" w:hint="default"/>
      </w:rPr>
    </w:lvl>
    <w:lvl w:ilvl="5" w:tplc="04240005" w:tentative="1">
      <w:start w:val="1"/>
      <w:numFmt w:val="bullet"/>
      <w:lvlText w:val=""/>
      <w:lvlJc w:val="left"/>
      <w:pPr>
        <w:tabs>
          <w:tab w:val="num" w:pos="4395"/>
        </w:tabs>
        <w:ind w:left="4395" w:hanging="360"/>
      </w:pPr>
      <w:rPr>
        <w:rFonts w:ascii="Wingdings" w:hAnsi="Wingdings" w:hint="default"/>
      </w:rPr>
    </w:lvl>
    <w:lvl w:ilvl="6" w:tplc="04240001" w:tentative="1">
      <w:start w:val="1"/>
      <w:numFmt w:val="bullet"/>
      <w:lvlText w:val=""/>
      <w:lvlJc w:val="left"/>
      <w:pPr>
        <w:tabs>
          <w:tab w:val="num" w:pos="5115"/>
        </w:tabs>
        <w:ind w:left="5115" w:hanging="360"/>
      </w:pPr>
      <w:rPr>
        <w:rFonts w:ascii="Symbol" w:hAnsi="Symbol" w:hint="default"/>
      </w:rPr>
    </w:lvl>
    <w:lvl w:ilvl="7" w:tplc="04240003" w:tentative="1">
      <w:start w:val="1"/>
      <w:numFmt w:val="bullet"/>
      <w:lvlText w:val="o"/>
      <w:lvlJc w:val="left"/>
      <w:pPr>
        <w:tabs>
          <w:tab w:val="num" w:pos="5835"/>
        </w:tabs>
        <w:ind w:left="5835" w:hanging="360"/>
      </w:pPr>
      <w:rPr>
        <w:rFonts w:ascii="Courier New" w:hAnsi="Courier New" w:cs="Courier New" w:hint="default"/>
      </w:rPr>
    </w:lvl>
    <w:lvl w:ilvl="8" w:tplc="04240005" w:tentative="1">
      <w:start w:val="1"/>
      <w:numFmt w:val="bullet"/>
      <w:lvlText w:val=""/>
      <w:lvlJc w:val="left"/>
      <w:pPr>
        <w:tabs>
          <w:tab w:val="num" w:pos="6555"/>
        </w:tabs>
        <w:ind w:left="6555" w:hanging="360"/>
      </w:pPr>
      <w:rPr>
        <w:rFonts w:ascii="Wingdings" w:hAnsi="Wingdings" w:hint="default"/>
      </w:rPr>
    </w:lvl>
  </w:abstractNum>
  <w:abstractNum w:abstractNumId="25">
    <w:nsid w:val="7562018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26">
    <w:nsid w:val="7CFE0084"/>
    <w:multiLevelType w:val="hybridMultilevel"/>
    <w:tmpl w:val="69D22CBE"/>
    <w:lvl w:ilvl="0" w:tplc="829AF49E">
      <w:start w:val="1"/>
      <w:numFmt w:val="bullet"/>
      <w:lvlText w:val="-"/>
      <w:lvlJc w:val="left"/>
      <w:pPr>
        <w:tabs>
          <w:tab w:val="num" w:pos="360"/>
        </w:tabs>
        <w:ind w:left="360" w:hanging="360"/>
      </w:pPr>
      <w:rPr>
        <w:rFonts w:ascii="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7EE86F34"/>
    <w:multiLevelType w:val="hybridMultilevel"/>
    <w:tmpl w:val="EBEA14FA"/>
    <w:lvl w:ilvl="0" w:tplc="B32059DC">
      <w:numFmt w:val="bullet"/>
      <w:lvlText w:val="-"/>
      <w:lvlJc w:val="left"/>
      <w:pPr>
        <w:tabs>
          <w:tab w:val="num" w:pos="360"/>
        </w:tabs>
        <w:ind w:left="36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7"/>
  </w:num>
  <w:num w:numId="3">
    <w:abstractNumId w:val="18"/>
  </w:num>
  <w:num w:numId="4">
    <w:abstractNumId w:val="27"/>
  </w:num>
  <w:num w:numId="5">
    <w:abstractNumId w:val="16"/>
  </w:num>
  <w:num w:numId="6">
    <w:abstractNumId w:val="19"/>
  </w:num>
  <w:num w:numId="7">
    <w:abstractNumId w:val="4"/>
  </w:num>
  <w:num w:numId="8">
    <w:abstractNumId w:val="12"/>
  </w:num>
  <w:num w:numId="9">
    <w:abstractNumId w:val="1"/>
  </w:num>
  <w:num w:numId="10">
    <w:abstractNumId w:val="21"/>
  </w:num>
  <w:num w:numId="11">
    <w:abstractNumId w:val="11"/>
  </w:num>
  <w:num w:numId="12">
    <w:abstractNumId w:val="26"/>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0"/>
  </w:num>
  <w:num w:numId="15">
    <w:abstractNumId w:val="5"/>
  </w:num>
  <w:num w:numId="16">
    <w:abstractNumId w:val="8"/>
  </w:num>
  <w:num w:numId="17">
    <w:abstractNumId w:val="23"/>
  </w:num>
  <w:num w:numId="18">
    <w:abstractNumId w:val="25"/>
  </w:num>
  <w:num w:numId="19">
    <w:abstractNumId w:val="3"/>
  </w:num>
  <w:num w:numId="20">
    <w:abstractNumId w:val="13"/>
  </w:num>
  <w:num w:numId="21">
    <w:abstractNumId w:val="14"/>
  </w:num>
  <w:num w:numId="22">
    <w:abstractNumId w:val="15"/>
  </w:num>
  <w:num w:numId="23">
    <w:abstractNumId w:val="22"/>
  </w:num>
  <w:num w:numId="24">
    <w:abstractNumId w:val="24"/>
  </w:num>
  <w:num w:numId="25">
    <w:abstractNumId w:val="6"/>
  </w:num>
  <w:num w:numId="26">
    <w:abstractNumId w:val="9"/>
  </w:num>
  <w:num w:numId="27">
    <w:abstractNumId w:val="2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6F"/>
    <w:rsid w:val="000021FF"/>
    <w:rsid w:val="000029B9"/>
    <w:rsid w:val="00006173"/>
    <w:rsid w:val="00010989"/>
    <w:rsid w:val="00011080"/>
    <w:rsid w:val="000202FD"/>
    <w:rsid w:val="00022184"/>
    <w:rsid w:val="00022953"/>
    <w:rsid w:val="000245F4"/>
    <w:rsid w:val="00024B3D"/>
    <w:rsid w:val="00025C35"/>
    <w:rsid w:val="000272F9"/>
    <w:rsid w:val="000276EF"/>
    <w:rsid w:val="00027B6E"/>
    <w:rsid w:val="00032D42"/>
    <w:rsid w:val="000333CC"/>
    <w:rsid w:val="00035D38"/>
    <w:rsid w:val="00036446"/>
    <w:rsid w:val="0004714A"/>
    <w:rsid w:val="00047BCA"/>
    <w:rsid w:val="00053A68"/>
    <w:rsid w:val="00053B30"/>
    <w:rsid w:val="00054A23"/>
    <w:rsid w:val="0005713F"/>
    <w:rsid w:val="0005721C"/>
    <w:rsid w:val="0006286C"/>
    <w:rsid w:val="00062CED"/>
    <w:rsid w:val="0006314D"/>
    <w:rsid w:val="00066E40"/>
    <w:rsid w:val="00074705"/>
    <w:rsid w:val="00077B84"/>
    <w:rsid w:val="00080502"/>
    <w:rsid w:val="000835C9"/>
    <w:rsid w:val="0008753C"/>
    <w:rsid w:val="00093775"/>
    <w:rsid w:val="000957AA"/>
    <w:rsid w:val="000968F2"/>
    <w:rsid w:val="000A0843"/>
    <w:rsid w:val="000A1511"/>
    <w:rsid w:val="000B3FC4"/>
    <w:rsid w:val="000B4B2B"/>
    <w:rsid w:val="000B5B52"/>
    <w:rsid w:val="000C1187"/>
    <w:rsid w:val="000C246E"/>
    <w:rsid w:val="000C36D1"/>
    <w:rsid w:val="000C394D"/>
    <w:rsid w:val="000C7D09"/>
    <w:rsid w:val="000D1678"/>
    <w:rsid w:val="000D562B"/>
    <w:rsid w:val="000D779A"/>
    <w:rsid w:val="000E5C15"/>
    <w:rsid w:val="000E656A"/>
    <w:rsid w:val="000E7382"/>
    <w:rsid w:val="000F316A"/>
    <w:rsid w:val="000F5C21"/>
    <w:rsid w:val="000F6983"/>
    <w:rsid w:val="000F7C8F"/>
    <w:rsid w:val="001054DE"/>
    <w:rsid w:val="00106B9A"/>
    <w:rsid w:val="001105C2"/>
    <w:rsid w:val="00112726"/>
    <w:rsid w:val="00114A49"/>
    <w:rsid w:val="001156ED"/>
    <w:rsid w:val="001160B4"/>
    <w:rsid w:val="001231AC"/>
    <w:rsid w:val="001309B3"/>
    <w:rsid w:val="001313B9"/>
    <w:rsid w:val="0013791C"/>
    <w:rsid w:val="00140940"/>
    <w:rsid w:val="00140E57"/>
    <w:rsid w:val="00141015"/>
    <w:rsid w:val="00141BF9"/>
    <w:rsid w:val="00142F30"/>
    <w:rsid w:val="00143A1B"/>
    <w:rsid w:val="001453F0"/>
    <w:rsid w:val="001458A0"/>
    <w:rsid w:val="00146874"/>
    <w:rsid w:val="00155119"/>
    <w:rsid w:val="0015511F"/>
    <w:rsid w:val="00156570"/>
    <w:rsid w:val="00156A86"/>
    <w:rsid w:val="0015727B"/>
    <w:rsid w:val="001641D0"/>
    <w:rsid w:val="001645AF"/>
    <w:rsid w:val="00164F6C"/>
    <w:rsid w:val="00167CD3"/>
    <w:rsid w:val="00171A16"/>
    <w:rsid w:val="001740DE"/>
    <w:rsid w:val="00174378"/>
    <w:rsid w:val="001745C8"/>
    <w:rsid w:val="001763B6"/>
    <w:rsid w:val="00176E60"/>
    <w:rsid w:val="00177E06"/>
    <w:rsid w:val="00181C42"/>
    <w:rsid w:val="00184496"/>
    <w:rsid w:val="00192C72"/>
    <w:rsid w:val="00194987"/>
    <w:rsid w:val="00197281"/>
    <w:rsid w:val="001A2541"/>
    <w:rsid w:val="001A2A63"/>
    <w:rsid w:val="001A405F"/>
    <w:rsid w:val="001B0809"/>
    <w:rsid w:val="001B5EBF"/>
    <w:rsid w:val="001C18C0"/>
    <w:rsid w:val="001C6B01"/>
    <w:rsid w:val="001C6C23"/>
    <w:rsid w:val="001D3773"/>
    <w:rsid w:val="001D561F"/>
    <w:rsid w:val="001D5DCB"/>
    <w:rsid w:val="001D78FD"/>
    <w:rsid w:val="001E2F0F"/>
    <w:rsid w:val="001E39DF"/>
    <w:rsid w:val="001E6F19"/>
    <w:rsid w:val="001F1F70"/>
    <w:rsid w:val="001F4996"/>
    <w:rsid w:val="00200F68"/>
    <w:rsid w:val="00203B46"/>
    <w:rsid w:val="00204DF0"/>
    <w:rsid w:val="00210B12"/>
    <w:rsid w:val="00212B3A"/>
    <w:rsid w:val="00212FDF"/>
    <w:rsid w:val="002145C3"/>
    <w:rsid w:val="00216872"/>
    <w:rsid w:val="00217DB7"/>
    <w:rsid w:val="00224397"/>
    <w:rsid w:val="00224484"/>
    <w:rsid w:val="002247DD"/>
    <w:rsid w:val="002348F7"/>
    <w:rsid w:val="002354E2"/>
    <w:rsid w:val="0024124B"/>
    <w:rsid w:val="002421B1"/>
    <w:rsid w:val="00246138"/>
    <w:rsid w:val="00247683"/>
    <w:rsid w:val="002513CB"/>
    <w:rsid w:val="00256465"/>
    <w:rsid w:val="002617A0"/>
    <w:rsid w:val="0027013A"/>
    <w:rsid w:val="00270845"/>
    <w:rsid w:val="0027796E"/>
    <w:rsid w:val="002828FF"/>
    <w:rsid w:val="0029075D"/>
    <w:rsid w:val="00292C90"/>
    <w:rsid w:val="00296506"/>
    <w:rsid w:val="002B264A"/>
    <w:rsid w:val="002B43CC"/>
    <w:rsid w:val="002C2554"/>
    <w:rsid w:val="002C2B56"/>
    <w:rsid w:val="002C3556"/>
    <w:rsid w:val="002C4664"/>
    <w:rsid w:val="002C7B84"/>
    <w:rsid w:val="002D064B"/>
    <w:rsid w:val="002D2D82"/>
    <w:rsid w:val="002D6208"/>
    <w:rsid w:val="002D633C"/>
    <w:rsid w:val="002E5AA8"/>
    <w:rsid w:val="002F12F5"/>
    <w:rsid w:val="002F3771"/>
    <w:rsid w:val="002F5D0A"/>
    <w:rsid w:val="002F61B5"/>
    <w:rsid w:val="002F64C7"/>
    <w:rsid w:val="003008F9"/>
    <w:rsid w:val="0030776F"/>
    <w:rsid w:val="00313EA0"/>
    <w:rsid w:val="003171C8"/>
    <w:rsid w:val="0032273A"/>
    <w:rsid w:val="003232A8"/>
    <w:rsid w:val="0032582A"/>
    <w:rsid w:val="00325DB6"/>
    <w:rsid w:val="003263DD"/>
    <w:rsid w:val="003273A7"/>
    <w:rsid w:val="00330CC6"/>
    <w:rsid w:val="003320A9"/>
    <w:rsid w:val="00332F76"/>
    <w:rsid w:val="00333ABA"/>
    <w:rsid w:val="0034002D"/>
    <w:rsid w:val="003408EB"/>
    <w:rsid w:val="00342C4A"/>
    <w:rsid w:val="0034453E"/>
    <w:rsid w:val="00344980"/>
    <w:rsid w:val="00344DC1"/>
    <w:rsid w:val="00345AC5"/>
    <w:rsid w:val="00351AD7"/>
    <w:rsid w:val="00355477"/>
    <w:rsid w:val="00361387"/>
    <w:rsid w:val="00365332"/>
    <w:rsid w:val="00365846"/>
    <w:rsid w:val="003658EB"/>
    <w:rsid w:val="00366B2A"/>
    <w:rsid w:val="003709C1"/>
    <w:rsid w:val="00372424"/>
    <w:rsid w:val="0037528B"/>
    <w:rsid w:val="00377653"/>
    <w:rsid w:val="00380032"/>
    <w:rsid w:val="003826C8"/>
    <w:rsid w:val="0038428B"/>
    <w:rsid w:val="00384C28"/>
    <w:rsid w:val="003870A1"/>
    <w:rsid w:val="00395516"/>
    <w:rsid w:val="00395F1D"/>
    <w:rsid w:val="003968C6"/>
    <w:rsid w:val="00397A57"/>
    <w:rsid w:val="003A1B71"/>
    <w:rsid w:val="003A33E8"/>
    <w:rsid w:val="003A36BA"/>
    <w:rsid w:val="003A50DF"/>
    <w:rsid w:val="003A7ED5"/>
    <w:rsid w:val="003B159B"/>
    <w:rsid w:val="003B4129"/>
    <w:rsid w:val="003B685A"/>
    <w:rsid w:val="003B6D6A"/>
    <w:rsid w:val="003C4DF8"/>
    <w:rsid w:val="003D71BE"/>
    <w:rsid w:val="003E0378"/>
    <w:rsid w:val="003E2357"/>
    <w:rsid w:val="003E2894"/>
    <w:rsid w:val="003E4383"/>
    <w:rsid w:val="003E79F6"/>
    <w:rsid w:val="003F0A5D"/>
    <w:rsid w:val="003F23F4"/>
    <w:rsid w:val="003F34C9"/>
    <w:rsid w:val="003F6A87"/>
    <w:rsid w:val="004020DE"/>
    <w:rsid w:val="004037F2"/>
    <w:rsid w:val="00404E20"/>
    <w:rsid w:val="00405944"/>
    <w:rsid w:val="00405A35"/>
    <w:rsid w:val="004069CC"/>
    <w:rsid w:val="00410134"/>
    <w:rsid w:val="0041233D"/>
    <w:rsid w:val="004125F8"/>
    <w:rsid w:val="00413781"/>
    <w:rsid w:val="004148A3"/>
    <w:rsid w:val="004172FC"/>
    <w:rsid w:val="0042299A"/>
    <w:rsid w:val="00425705"/>
    <w:rsid w:val="00425D4F"/>
    <w:rsid w:val="00426E05"/>
    <w:rsid w:val="0043283C"/>
    <w:rsid w:val="004362F4"/>
    <w:rsid w:val="00437EC5"/>
    <w:rsid w:val="00442372"/>
    <w:rsid w:val="0044240D"/>
    <w:rsid w:val="00442B36"/>
    <w:rsid w:val="004506FF"/>
    <w:rsid w:val="00456466"/>
    <w:rsid w:val="0045757A"/>
    <w:rsid w:val="00462F56"/>
    <w:rsid w:val="0046649C"/>
    <w:rsid w:val="0046771C"/>
    <w:rsid w:val="00470286"/>
    <w:rsid w:val="004711B2"/>
    <w:rsid w:val="00472B7C"/>
    <w:rsid w:val="004730FF"/>
    <w:rsid w:val="004771A0"/>
    <w:rsid w:val="0048136E"/>
    <w:rsid w:val="004824F8"/>
    <w:rsid w:val="00485F39"/>
    <w:rsid w:val="0049078D"/>
    <w:rsid w:val="00491377"/>
    <w:rsid w:val="0049184B"/>
    <w:rsid w:val="00497264"/>
    <w:rsid w:val="004975B2"/>
    <w:rsid w:val="00497A04"/>
    <w:rsid w:val="004A01B2"/>
    <w:rsid w:val="004A1E35"/>
    <w:rsid w:val="004A26EE"/>
    <w:rsid w:val="004A33E7"/>
    <w:rsid w:val="004A6360"/>
    <w:rsid w:val="004A7C3C"/>
    <w:rsid w:val="004B4994"/>
    <w:rsid w:val="004B4C60"/>
    <w:rsid w:val="004B5C3E"/>
    <w:rsid w:val="004B6618"/>
    <w:rsid w:val="004C0E0A"/>
    <w:rsid w:val="004C1860"/>
    <w:rsid w:val="004C2C04"/>
    <w:rsid w:val="004D0CCA"/>
    <w:rsid w:val="004D3D5A"/>
    <w:rsid w:val="004D6C9A"/>
    <w:rsid w:val="004E0419"/>
    <w:rsid w:val="004E054D"/>
    <w:rsid w:val="004E1AA7"/>
    <w:rsid w:val="004E4153"/>
    <w:rsid w:val="004E4726"/>
    <w:rsid w:val="004E4B4E"/>
    <w:rsid w:val="004E51D3"/>
    <w:rsid w:val="004E6232"/>
    <w:rsid w:val="004F0323"/>
    <w:rsid w:val="004F0B0D"/>
    <w:rsid w:val="004F1808"/>
    <w:rsid w:val="004F2743"/>
    <w:rsid w:val="004F6FB9"/>
    <w:rsid w:val="004F7FC7"/>
    <w:rsid w:val="00506A75"/>
    <w:rsid w:val="00507B2C"/>
    <w:rsid w:val="00515407"/>
    <w:rsid w:val="00515E66"/>
    <w:rsid w:val="00522B66"/>
    <w:rsid w:val="00525014"/>
    <w:rsid w:val="005252FE"/>
    <w:rsid w:val="005264C7"/>
    <w:rsid w:val="0052660E"/>
    <w:rsid w:val="00526C17"/>
    <w:rsid w:val="00536E54"/>
    <w:rsid w:val="00553526"/>
    <w:rsid w:val="00557CE0"/>
    <w:rsid w:val="00557FF4"/>
    <w:rsid w:val="00565AAA"/>
    <w:rsid w:val="00572844"/>
    <w:rsid w:val="00583700"/>
    <w:rsid w:val="005924E1"/>
    <w:rsid w:val="00593813"/>
    <w:rsid w:val="005B0F62"/>
    <w:rsid w:val="005B1EE3"/>
    <w:rsid w:val="005B2A33"/>
    <w:rsid w:val="005B37B0"/>
    <w:rsid w:val="005B3815"/>
    <w:rsid w:val="005B77E5"/>
    <w:rsid w:val="005C006E"/>
    <w:rsid w:val="005C512D"/>
    <w:rsid w:val="005C5D83"/>
    <w:rsid w:val="005C702A"/>
    <w:rsid w:val="005D24AF"/>
    <w:rsid w:val="005D30D2"/>
    <w:rsid w:val="005D3EB9"/>
    <w:rsid w:val="005D6152"/>
    <w:rsid w:val="005E04B6"/>
    <w:rsid w:val="005E14A3"/>
    <w:rsid w:val="005E3615"/>
    <w:rsid w:val="005E5BDA"/>
    <w:rsid w:val="005E6010"/>
    <w:rsid w:val="005E67A5"/>
    <w:rsid w:val="005E67D4"/>
    <w:rsid w:val="005E77D5"/>
    <w:rsid w:val="005F14CD"/>
    <w:rsid w:val="005F51B7"/>
    <w:rsid w:val="005F7F88"/>
    <w:rsid w:val="0060014B"/>
    <w:rsid w:val="00600E32"/>
    <w:rsid w:val="00602106"/>
    <w:rsid w:val="00605D52"/>
    <w:rsid w:val="006079BC"/>
    <w:rsid w:val="00607FBD"/>
    <w:rsid w:val="006105ED"/>
    <w:rsid w:val="00616082"/>
    <w:rsid w:val="00621029"/>
    <w:rsid w:val="00624BFC"/>
    <w:rsid w:val="00624C78"/>
    <w:rsid w:val="006267B6"/>
    <w:rsid w:val="0063070F"/>
    <w:rsid w:val="006311E4"/>
    <w:rsid w:val="00632ECB"/>
    <w:rsid w:val="00634D84"/>
    <w:rsid w:val="00635E3D"/>
    <w:rsid w:val="006377B2"/>
    <w:rsid w:val="00637FF0"/>
    <w:rsid w:val="00641BFA"/>
    <w:rsid w:val="0064666D"/>
    <w:rsid w:val="00647941"/>
    <w:rsid w:val="00647A22"/>
    <w:rsid w:val="0065326F"/>
    <w:rsid w:val="00653DF7"/>
    <w:rsid w:val="00657564"/>
    <w:rsid w:val="00662385"/>
    <w:rsid w:val="0066326F"/>
    <w:rsid w:val="006637A1"/>
    <w:rsid w:val="00667BB6"/>
    <w:rsid w:val="00670622"/>
    <w:rsid w:val="00673BC5"/>
    <w:rsid w:val="00673CBD"/>
    <w:rsid w:val="00677D6D"/>
    <w:rsid w:val="006851E0"/>
    <w:rsid w:val="00685C26"/>
    <w:rsid w:val="00686B3A"/>
    <w:rsid w:val="00686B54"/>
    <w:rsid w:val="00695B21"/>
    <w:rsid w:val="006975E1"/>
    <w:rsid w:val="006A20D4"/>
    <w:rsid w:val="006A4DDE"/>
    <w:rsid w:val="006B4735"/>
    <w:rsid w:val="006B708A"/>
    <w:rsid w:val="006B7646"/>
    <w:rsid w:val="006D0261"/>
    <w:rsid w:val="006D3433"/>
    <w:rsid w:val="006D61C4"/>
    <w:rsid w:val="006E041F"/>
    <w:rsid w:val="006E2041"/>
    <w:rsid w:val="006E26C8"/>
    <w:rsid w:val="006E30F2"/>
    <w:rsid w:val="006E38D3"/>
    <w:rsid w:val="006E4089"/>
    <w:rsid w:val="006E4E2E"/>
    <w:rsid w:val="006E777B"/>
    <w:rsid w:val="0070683E"/>
    <w:rsid w:val="007079BC"/>
    <w:rsid w:val="0071036F"/>
    <w:rsid w:val="0071351D"/>
    <w:rsid w:val="007159E4"/>
    <w:rsid w:val="00724A1E"/>
    <w:rsid w:val="00733C69"/>
    <w:rsid w:val="00734CEA"/>
    <w:rsid w:val="00735855"/>
    <w:rsid w:val="00736048"/>
    <w:rsid w:val="007373B6"/>
    <w:rsid w:val="007376AE"/>
    <w:rsid w:val="007413DD"/>
    <w:rsid w:val="0074492E"/>
    <w:rsid w:val="007468B1"/>
    <w:rsid w:val="00746992"/>
    <w:rsid w:val="007474E4"/>
    <w:rsid w:val="00747631"/>
    <w:rsid w:val="007505DD"/>
    <w:rsid w:val="00750CE7"/>
    <w:rsid w:val="00752FD7"/>
    <w:rsid w:val="00757BC4"/>
    <w:rsid w:val="00762D63"/>
    <w:rsid w:val="007638DD"/>
    <w:rsid w:val="00766B44"/>
    <w:rsid w:val="00771F6C"/>
    <w:rsid w:val="00787285"/>
    <w:rsid w:val="00787EC9"/>
    <w:rsid w:val="007912D3"/>
    <w:rsid w:val="00795023"/>
    <w:rsid w:val="007A4720"/>
    <w:rsid w:val="007A64A8"/>
    <w:rsid w:val="007A7E19"/>
    <w:rsid w:val="007B118B"/>
    <w:rsid w:val="007B138A"/>
    <w:rsid w:val="007B7496"/>
    <w:rsid w:val="007C0909"/>
    <w:rsid w:val="007C4934"/>
    <w:rsid w:val="007C5E9A"/>
    <w:rsid w:val="007D188F"/>
    <w:rsid w:val="007D18BC"/>
    <w:rsid w:val="007D1B8D"/>
    <w:rsid w:val="007D7029"/>
    <w:rsid w:val="007D7DE7"/>
    <w:rsid w:val="007E16FF"/>
    <w:rsid w:val="007E459F"/>
    <w:rsid w:val="007E5E27"/>
    <w:rsid w:val="007E60D6"/>
    <w:rsid w:val="007E67C3"/>
    <w:rsid w:val="007E7261"/>
    <w:rsid w:val="007F0BE8"/>
    <w:rsid w:val="007F2134"/>
    <w:rsid w:val="007F31AA"/>
    <w:rsid w:val="007F4670"/>
    <w:rsid w:val="007F58B6"/>
    <w:rsid w:val="007F7744"/>
    <w:rsid w:val="00801D46"/>
    <w:rsid w:val="008059C1"/>
    <w:rsid w:val="0081372D"/>
    <w:rsid w:val="00813F27"/>
    <w:rsid w:val="00813F82"/>
    <w:rsid w:val="008179B4"/>
    <w:rsid w:val="00820CB2"/>
    <w:rsid w:val="00820F8A"/>
    <w:rsid w:val="00821A68"/>
    <w:rsid w:val="00824851"/>
    <w:rsid w:val="00826911"/>
    <w:rsid w:val="00832F42"/>
    <w:rsid w:val="00833D01"/>
    <w:rsid w:val="00837441"/>
    <w:rsid w:val="00840EED"/>
    <w:rsid w:val="00845CC5"/>
    <w:rsid w:val="008462DB"/>
    <w:rsid w:val="00850233"/>
    <w:rsid w:val="00861CB9"/>
    <w:rsid w:val="008625F2"/>
    <w:rsid w:val="00866B89"/>
    <w:rsid w:val="00867630"/>
    <w:rsid w:val="008735B1"/>
    <w:rsid w:val="0087429E"/>
    <w:rsid w:val="0087431A"/>
    <w:rsid w:val="008758A0"/>
    <w:rsid w:val="00884BD7"/>
    <w:rsid w:val="008851F2"/>
    <w:rsid w:val="00885A54"/>
    <w:rsid w:val="00885AD4"/>
    <w:rsid w:val="008869C5"/>
    <w:rsid w:val="00894048"/>
    <w:rsid w:val="00894E81"/>
    <w:rsid w:val="008956F0"/>
    <w:rsid w:val="008A1438"/>
    <w:rsid w:val="008A26A5"/>
    <w:rsid w:val="008A4321"/>
    <w:rsid w:val="008A52D1"/>
    <w:rsid w:val="008A68CA"/>
    <w:rsid w:val="008B198E"/>
    <w:rsid w:val="008B2B16"/>
    <w:rsid w:val="008B692F"/>
    <w:rsid w:val="008B75F6"/>
    <w:rsid w:val="008B7E98"/>
    <w:rsid w:val="008C142F"/>
    <w:rsid w:val="008C167E"/>
    <w:rsid w:val="008D01BD"/>
    <w:rsid w:val="008D2D4E"/>
    <w:rsid w:val="008D2E21"/>
    <w:rsid w:val="008D57DF"/>
    <w:rsid w:val="008D6320"/>
    <w:rsid w:val="008D6437"/>
    <w:rsid w:val="008E3255"/>
    <w:rsid w:val="008E4EE6"/>
    <w:rsid w:val="008E4EF8"/>
    <w:rsid w:val="0090474C"/>
    <w:rsid w:val="0091313F"/>
    <w:rsid w:val="009244D3"/>
    <w:rsid w:val="00926CE8"/>
    <w:rsid w:val="00930F60"/>
    <w:rsid w:val="00936ABA"/>
    <w:rsid w:val="00936B4F"/>
    <w:rsid w:val="00941505"/>
    <w:rsid w:val="00951954"/>
    <w:rsid w:val="00951D87"/>
    <w:rsid w:val="0095713D"/>
    <w:rsid w:val="009613F2"/>
    <w:rsid w:val="00961E22"/>
    <w:rsid w:val="00965028"/>
    <w:rsid w:val="0097627B"/>
    <w:rsid w:val="00983365"/>
    <w:rsid w:val="0098545C"/>
    <w:rsid w:val="009905F6"/>
    <w:rsid w:val="00990869"/>
    <w:rsid w:val="00991274"/>
    <w:rsid w:val="00993139"/>
    <w:rsid w:val="009934F9"/>
    <w:rsid w:val="0099392E"/>
    <w:rsid w:val="00997808"/>
    <w:rsid w:val="009A2416"/>
    <w:rsid w:val="009A3D2A"/>
    <w:rsid w:val="009A5DAF"/>
    <w:rsid w:val="009A61C3"/>
    <w:rsid w:val="009B4330"/>
    <w:rsid w:val="009B4FE2"/>
    <w:rsid w:val="009B66FE"/>
    <w:rsid w:val="009C2EF6"/>
    <w:rsid w:val="009C4D48"/>
    <w:rsid w:val="009C5C91"/>
    <w:rsid w:val="009C76CF"/>
    <w:rsid w:val="009D2017"/>
    <w:rsid w:val="009D3FBA"/>
    <w:rsid w:val="009D7DA2"/>
    <w:rsid w:val="009E14AD"/>
    <w:rsid w:val="009E20BC"/>
    <w:rsid w:val="009E28C3"/>
    <w:rsid w:val="009E4C3F"/>
    <w:rsid w:val="009F0F5E"/>
    <w:rsid w:val="009F1956"/>
    <w:rsid w:val="009F2169"/>
    <w:rsid w:val="009F368C"/>
    <w:rsid w:val="009F4B00"/>
    <w:rsid w:val="009F7478"/>
    <w:rsid w:val="009F79E2"/>
    <w:rsid w:val="00A0033B"/>
    <w:rsid w:val="00A01062"/>
    <w:rsid w:val="00A0186F"/>
    <w:rsid w:val="00A11827"/>
    <w:rsid w:val="00A1468F"/>
    <w:rsid w:val="00A15859"/>
    <w:rsid w:val="00A15D84"/>
    <w:rsid w:val="00A22E17"/>
    <w:rsid w:val="00A24FC6"/>
    <w:rsid w:val="00A27DAC"/>
    <w:rsid w:val="00A30098"/>
    <w:rsid w:val="00A30898"/>
    <w:rsid w:val="00A3225C"/>
    <w:rsid w:val="00A34EEE"/>
    <w:rsid w:val="00A37188"/>
    <w:rsid w:val="00A371F1"/>
    <w:rsid w:val="00A41BCD"/>
    <w:rsid w:val="00A4589A"/>
    <w:rsid w:val="00A52B69"/>
    <w:rsid w:val="00A536D8"/>
    <w:rsid w:val="00A55534"/>
    <w:rsid w:val="00A55610"/>
    <w:rsid w:val="00A66E5A"/>
    <w:rsid w:val="00A675DD"/>
    <w:rsid w:val="00A71ACF"/>
    <w:rsid w:val="00A73F47"/>
    <w:rsid w:val="00A741DD"/>
    <w:rsid w:val="00A768CF"/>
    <w:rsid w:val="00A778DD"/>
    <w:rsid w:val="00A77DC4"/>
    <w:rsid w:val="00A809BF"/>
    <w:rsid w:val="00A81172"/>
    <w:rsid w:val="00A811A2"/>
    <w:rsid w:val="00A815E9"/>
    <w:rsid w:val="00A827F5"/>
    <w:rsid w:val="00A84F95"/>
    <w:rsid w:val="00A86AF6"/>
    <w:rsid w:val="00A9036D"/>
    <w:rsid w:val="00AA42BA"/>
    <w:rsid w:val="00AA4E1F"/>
    <w:rsid w:val="00AA7FAD"/>
    <w:rsid w:val="00AB0BBE"/>
    <w:rsid w:val="00AB5EEA"/>
    <w:rsid w:val="00AB7A05"/>
    <w:rsid w:val="00AB7E8C"/>
    <w:rsid w:val="00AC5117"/>
    <w:rsid w:val="00AC5F2D"/>
    <w:rsid w:val="00AD0E2E"/>
    <w:rsid w:val="00AD292D"/>
    <w:rsid w:val="00AD5C98"/>
    <w:rsid w:val="00AE498C"/>
    <w:rsid w:val="00AE72B0"/>
    <w:rsid w:val="00AF2C90"/>
    <w:rsid w:val="00AF3735"/>
    <w:rsid w:val="00B00195"/>
    <w:rsid w:val="00B01CAB"/>
    <w:rsid w:val="00B02532"/>
    <w:rsid w:val="00B02BBB"/>
    <w:rsid w:val="00B03896"/>
    <w:rsid w:val="00B03FF6"/>
    <w:rsid w:val="00B061BE"/>
    <w:rsid w:val="00B104E4"/>
    <w:rsid w:val="00B10B7C"/>
    <w:rsid w:val="00B11523"/>
    <w:rsid w:val="00B11937"/>
    <w:rsid w:val="00B14122"/>
    <w:rsid w:val="00B15426"/>
    <w:rsid w:val="00B170B7"/>
    <w:rsid w:val="00B2012C"/>
    <w:rsid w:val="00B201BF"/>
    <w:rsid w:val="00B25CB5"/>
    <w:rsid w:val="00B26BDE"/>
    <w:rsid w:val="00B277DD"/>
    <w:rsid w:val="00B317D1"/>
    <w:rsid w:val="00B41C51"/>
    <w:rsid w:val="00B53EDF"/>
    <w:rsid w:val="00B55054"/>
    <w:rsid w:val="00B650C1"/>
    <w:rsid w:val="00B65AEA"/>
    <w:rsid w:val="00B6747F"/>
    <w:rsid w:val="00B700EB"/>
    <w:rsid w:val="00B70886"/>
    <w:rsid w:val="00B7188E"/>
    <w:rsid w:val="00B72A52"/>
    <w:rsid w:val="00B766B7"/>
    <w:rsid w:val="00B76FA8"/>
    <w:rsid w:val="00B81443"/>
    <w:rsid w:val="00B81D16"/>
    <w:rsid w:val="00B85CDC"/>
    <w:rsid w:val="00B86DFE"/>
    <w:rsid w:val="00B87D72"/>
    <w:rsid w:val="00B92163"/>
    <w:rsid w:val="00B92884"/>
    <w:rsid w:val="00B932B0"/>
    <w:rsid w:val="00B954AA"/>
    <w:rsid w:val="00B9745B"/>
    <w:rsid w:val="00B978BB"/>
    <w:rsid w:val="00BA028B"/>
    <w:rsid w:val="00BA63E4"/>
    <w:rsid w:val="00BB324E"/>
    <w:rsid w:val="00BB3808"/>
    <w:rsid w:val="00BB5286"/>
    <w:rsid w:val="00BB61FB"/>
    <w:rsid w:val="00BC03B4"/>
    <w:rsid w:val="00BC3909"/>
    <w:rsid w:val="00BC5345"/>
    <w:rsid w:val="00BC5919"/>
    <w:rsid w:val="00BC6884"/>
    <w:rsid w:val="00BD2015"/>
    <w:rsid w:val="00BD3442"/>
    <w:rsid w:val="00BE7E27"/>
    <w:rsid w:val="00BF0592"/>
    <w:rsid w:val="00BF0D73"/>
    <w:rsid w:val="00BF156E"/>
    <w:rsid w:val="00BF1D27"/>
    <w:rsid w:val="00BF4158"/>
    <w:rsid w:val="00BF4ECA"/>
    <w:rsid w:val="00C007DE"/>
    <w:rsid w:val="00C00AE7"/>
    <w:rsid w:val="00C0130B"/>
    <w:rsid w:val="00C0190B"/>
    <w:rsid w:val="00C03B76"/>
    <w:rsid w:val="00C040A8"/>
    <w:rsid w:val="00C05B8E"/>
    <w:rsid w:val="00C05C6A"/>
    <w:rsid w:val="00C13914"/>
    <w:rsid w:val="00C1507B"/>
    <w:rsid w:val="00C16B72"/>
    <w:rsid w:val="00C208B4"/>
    <w:rsid w:val="00C226BD"/>
    <w:rsid w:val="00C263B3"/>
    <w:rsid w:val="00C301F9"/>
    <w:rsid w:val="00C33572"/>
    <w:rsid w:val="00C352DF"/>
    <w:rsid w:val="00C40634"/>
    <w:rsid w:val="00C40EB0"/>
    <w:rsid w:val="00C414BA"/>
    <w:rsid w:val="00C4231F"/>
    <w:rsid w:val="00C437DF"/>
    <w:rsid w:val="00C44210"/>
    <w:rsid w:val="00C451E4"/>
    <w:rsid w:val="00C50B08"/>
    <w:rsid w:val="00C5301E"/>
    <w:rsid w:val="00C5590E"/>
    <w:rsid w:val="00C562A7"/>
    <w:rsid w:val="00C57082"/>
    <w:rsid w:val="00C60318"/>
    <w:rsid w:val="00C635ED"/>
    <w:rsid w:val="00C6489E"/>
    <w:rsid w:val="00C652B3"/>
    <w:rsid w:val="00C72DF4"/>
    <w:rsid w:val="00C7401D"/>
    <w:rsid w:val="00C7574B"/>
    <w:rsid w:val="00C8009B"/>
    <w:rsid w:val="00C800B1"/>
    <w:rsid w:val="00C82095"/>
    <w:rsid w:val="00C822FA"/>
    <w:rsid w:val="00C8736D"/>
    <w:rsid w:val="00C90CE7"/>
    <w:rsid w:val="00C91DB7"/>
    <w:rsid w:val="00C95808"/>
    <w:rsid w:val="00C96FCE"/>
    <w:rsid w:val="00CA2874"/>
    <w:rsid w:val="00CA3E38"/>
    <w:rsid w:val="00CA6546"/>
    <w:rsid w:val="00CA782F"/>
    <w:rsid w:val="00CA7927"/>
    <w:rsid w:val="00CA7ED1"/>
    <w:rsid w:val="00CB13E1"/>
    <w:rsid w:val="00CB1413"/>
    <w:rsid w:val="00CB1B50"/>
    <w:rsid w:val="00CB2158"/>
    <w:rsid w:val="00CB4B80"/>
    <w:rsid w:val="00CB6114"/>
    <w:rsid w:val="00CC0101"/>
    <w:rsid w:val="00CC6CE7"/>
    <w:rsid w:val="00CD1E42"/>
    <w:rsid w:val="00CD4525"/>
    <w:rsid w:val="00CD604A"/>
    <w:rsid w:val="00CE0E54"/>
    <w:rsid w:val="00CF19E4"/>
    <w:rsid w:val="00CF24D1"/>
    <w:rsid w:val="00CF44B6"/>
    <w:rsid w:val="00D02AA7"/>
    <w:rsid w:val="00D04E7F"/>
    <w:rsid w:val="00D06DF8"/>
    <w:rsid w:val="00D127C0"/>
    <w:rsid w:val="00D16DF0"/>
    <w:rsid w:val="00D172AB"/>
    <w:rsid w:val="00D17A6F"/>
    <w:rsid w:val="00D20681"/>
    <w:rsid w:val="00D2236E"/>
    <w:rsid w:val="00D23321"/>
    <w:rsid w:val="00D24144"/>
    <w:rsid w:val="00D250B7"/>
    <w:rsid w:val="00D26252"/>
    <w:rsid w:val="00D26972"/>
    <w:rsid w:val="00D43E81"/>
    <w:rsid w:val="00D50DA2"/>
    <w:rsid w:val="00D51680"/>
    <w:rsid w:val="00D54ED4"/>
    <w:rsid w:val="00D604A3"/>
    <w:rsid w:val="00D60DE5"/>
    <w:rsid w:val="00D6349C"/>
    <w:rsid w:val="00D67636"/>
    <w:rsid w:val="00D67AF3"/>
    <w:rsid w:val="00D70C81"/>
    <w:rsid w:val="00D736AB"/>
    <w:rsid w:val="00D83E34"/>
    <w:rsid w:val="00D876B7"/>
    <w:rsid w:val="00D9000F"/>
    <w:rsid w:val="00D90ADD"/>
    <w:rsid w:val="00D9280F"/>
    <w:rsid w:val="00D96240"/>
    <w:rsid w:val="00D965F1"/>
    <w:rsid w:val="00DA2916"/>
    <w:rsid w:val="00DA7025"/>
    <w:rsid w:val="00DB27DD"/>
    <w:rsid w:val="00DB598C"/>
    <w:rsid w:val="00DC00B5"/>
    <w:rsid w:val="00DC6218"/>
    <w:rsid w:val="00DC62F0"/>
    <w:rsid w:val="00DD29F3"/>
    <w:rsid w:val="00DD3141"/>
    <w:rsid w:val="00DD4955"/>
    <w:rsid w:val="00DD4F1E"/>
    <w:rsid w:val="00DD65DF"/>
    <w:rsid w:val="00DD6A94"/>
    <w:rsid w:val="00DF027B"/>
    <w:rsid w:val="00DF27AC"/>
    <w:rsid w:val="00DF2BB1"/>
    <w:rsid w:val="00DF391E"/>
    <w:rsid w:val="00DF4FBA"/>
    <w:rsid w:val="00DF58D5"/>
    <w:rsid w:val="00E00712"/>
    <w:rsid w:val="00E010F0"/>
    <w:rsid w:val="00E011C2"/>
    <w:rsid w:val="00E03E5D"/>
    <w:rsid w:val="00E06755"/>
    <w:rsid w:val="00E0678C"/>
    <w:rsid w:val="00E11E94"/>
    <w:rsid w:val="00E12AB3"/>
    <w:rsid w:val="00E12CCD"/>
    <w:rsid w:val="00E13F2D"/>
    <w:rsid w:val="00E14C68"/>
    <w:rsid w:val="00E16B9F"/>
    <w:rsid w:val="00E1784B"/>
    <w:rsid w:val="00E17C5B"/>
    <w:rsid w:val="00E234DD"/>
    <w:rsid w:val="00E243AA"/>
    <w:rsid w:val="00E245B6"/>
    <w:rsid w:val="00E344D3"/>
    <w:rsid w:val="00E52065"/>
    <w:rsid w:val="00E52174"/>
    <w:rsid w:val="00E5286D"/>
    <w:rsid w:val="00E56732"/>
    <w:rsid w:val="00E56FBE"/>
    <w:rsid w:val="00E63024"/>
    <w:rsid w:val="00E63929"/>
    <w:rsid w:val="00E64B41"/>
    <w:rsid w:val="00E67094"/>
    <w:rsid w:val="00E67BE7"/>
    <w:rsid w:val="00E7031B"/>
    <w:rsid w:val="00E77B47"/>
    <w:rsid w:val="00E77F05"/>
    <w:rsid w:val="00E8718A"/>
    <w:rsid w:val="00E92FC6"/>
    <w:rsid w:val="00E95FE8"/>
    <w:rsid w:val="00EA16A6"/>
    <w:rsid w:val="00EA57FF"/>
    <w:rsid w:val="00EB2A6E"/>
    <w:rsid w:val="00EB33C8"/>
    <w:rsid w:val="00EB611D"/>
    <w:rsid w:val="00EC073F"/>
    <w:rsid w:val="00EC3992"/>
    <w:rsid w:val="00EC4F85"/>
    <w:rsid w:val="00EC5593"/>
    <w:rsid w:val="00EC649B"/>
    <w:rsid w:val="00EC68C9"/>
    <w:rsid w:val="00EC6EBC"/>
    <w:rsid w:val="00ED0BB7"/>
    <w:rsid w:val="00ED112D"/>
    <w:rsid w:val="00ED2D7D"/>
    <w:rsid w:val="00ED32F5"/>
    <w:rsid w:val="00ED5490"/>
    <w:rsid w:val="00ED5968"/>
    <w:rsid w:val="00EE7774"/>
    <w:rsid w:val="00EF384E"/>
    <w:rsid w:val="00EF4049"/>
    <w:rsid w:val="00EF4256"/>
    <w:rsid w:val="00F008E0"/>
    <w:rsid w:val="00F05CD4"/>
    <w:rsid w:val="00F108FA"/>
    <w:rsid w:val="00F13D4C"/>
    <w:rsid w:val="00F16605"/>
    <w:rsid w:val="00F17B4F"/>
    <w:rsid w:val="00F21E14"/>
    <w:rsid w:val="00F24255"/>
    <w:rsid w:val="00F26FD0"/>
    <w:rsid w:val="00F27545"/>
    <w:rsid w:val="00F30EA0"/>
    <w:rsid w:val="00F31EC6"/>
    <w:rsid w:val="00F32A9E"/>
    <w:rsid w:val="00F32BB5"/>
    <w:rsid w:val="00F407AB"/>
    <w:rsid w:val="00F41439"/>
    <w:rsid w:val="00F44B7B"/>
    <w:rsid w:val="00F454FE"/>
    <w:rsid w:val="00F50842"/>
    <w:rsid w:val="00F52E2F"/>
    <w:rsid w:val="00F52EDC"/>
    <w:rsid w:val="00F55024"/>
    <w:rsid w:val="00F55959"/>
    <w:rsid w:val="00F57916"/>
    <w:rsid w:val="00F61AD3"/>
    <w:rsid w:val="00F637B0"/>
    <w:rsid w:val="00F67ADA"/>
    <w:rsid w:val="00F70B7C"/>
    <w:rsid w:val="00F70C97"/>
    <w:rsid w:val="00F76C53"/>
    <w:rsid w:val="00F779D9"/>
    <w:rsid w:val="00F81EB6"/>
    <w:rsid w:val="00F8493E"/>
    <w:rsid w:val="00F84B24"/>
    <w:rsid w:val="00F87871"/>
    <w:rsid w:val="00F9573D"/>
    <w:rsid w:val="00FA01F9"/>
    <w:rsid w:val="00FA48AB"/>
    <w:rsid w:val="00FA4E47"/>
    <w:rsid w:val="00FB253A"/>
    <w:rsid w:val="00FB2BC2"/>
    <w:rsid w:val="00FB7D21"/>
    <w:rsid w:val="00FC0B3C"/>
    <w:rsid w:val="00FC0C19"/>
    <w:rsid w:val="00FC0F31"/>
    <w:rsid w:val="00FC1233"/>
    <w:rsid w:val="00FC2581"/>
    <w:rsid w:val="00FC7BDF"/>
    <w:rsid w:val="00FD1003"/>
    <w:rsid w:val="00FD1F38"/>
    <w:rsid w:val="00FE113E"/>
    <w:rsid w:val="00FF7D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15426"/>
    <w:pPr>
      <w:jc w:val="both"/>
    </w:pPr>
    <w:rPr>
      <w:rFonts w:ascii="Arial" w:hAnsi="Arial"/>
      <w:sz w:val="22"/>
    </w:rPr>
  </w:style>
  <w:style w:type="paragraph" w:styleId="Naslov1">
    <w:name w:val="heading 1"/>
    <w:basedOn w:val="Navaden"/>
    <w:next w:val="Navaden"/>
    <w:qFormat/>
    <w:rsid w:val="007E60D6"/>
    <w:pPr>
      <w:keepNext/>
      <w:numPr>
        <w:numId w:val="2"/>
      </w:numPr>
      <w:tabs>
        <w:tab w:val="clear" w:pos="432"/>
        <w:tab w:val="left" w:pos="856"/>
      </w:tabs>
      <w:spacing w:before="120" w:after="240"/>
      <w:ind w:left="851" w:hanging="851"/>
      <w:outlineLvl w:val="0"/>
    </w:pPr>
    <w:rPr>
      <w:rFonts w:ascii="Verdana" w:hAnsi="Verdana" w:cs="Arial"/>
      <w:b/>
      <w:bCs/>
      <w:kern w:val="32"/>
      <w:szCs w:val="32"/>
    </w:rPr>
  </w:style>
  <w:style w:type="paragraph" w:styleId="Naslov2">
    <w:name w:val="heading 2"/>
    <w:basedOn w:val="Navaden"/>
    <w:next w:val="Navaden"/>
    <w:qFormat/>
    <w:rsid w:val="007E60D6"/>
    <w:pPr>
      <w:keepNext/>
      <w:numPr>
        <w:ilvl w:val="1"/>
        <w:numId w:val="2"/>
      </w:numPr>
      <w:tabs>
        <w:tab w:val="clear" w:pos="576"/>
        <w:tab w:val="left" w:pos="851"/>
      </w:tabs>
      <w:spacing w:before="240" w:after="240"/>
      <w:ind w:left="851" w:hanging="851"/>
      <w:outlineLvl w:val="1"/>
    </w:pPr>
    <w:rPr>
      <w:rFonts w:ascii="Verdana" w:hAnsi="Verdana" w:cs="Arial"/>
      <w:b/>
      <w:bCs/>
      <w:iCs/>
      <w:szCs w:val="28"/>
    </w:rPr>
  </w:style>
  <w:style w:type="paragraph" w:styleId="Naslov3">
    <w:name w:val="heading 3"/>
    <w:basedOn w:val="Navaden"/>
    <w:next w:val="Navaden"/>
    <w:qFormat/>
    <w:rsid w:val="003F23F4"/>
    <w:pPr>
      <w:keepNext/>
      <w:numPr>
        <w:ilvl w:val="2"/>
        <w:numId w:val="2"/>
      </w:numPr>
      <w:spacing w:before="240" w:after="60"/>
      <w:outlineLvl w:val="2"/>
    </w:pPr>
    <w:rPr>
      <w:rFonts w:cs="Arial"/>
      <w:b/>
      <w:bCs/>
      <w:sz w:val="26"/>
      <w:szCs w:val="26"/>
    </w:rPr>
  </w:style>
  <w:style w:type="paragraph" w:styleId="Naslov4">
    <w:name w:val="heading 4"/>
    <w:basedOn w:val="Navaden"/>
    <w:next w:val="Navaden"/>
    <w:qFormat/>
    <w:rsid w:val="003F23F4"/>
    <w:pPr>
      <w:keepNext/>
      <w:numPr>
        <w:ilvl w:val="3"/>
        <w:numId w:val="2"/>
      </w:numPr>
      <w:spacing w:before="240" w:after="60"/>
      <w:outlineLvl w:val="3"/>
    </w:pPr>
    <w:rPr>
      <w:rFonts w:ascii="Times New Roman" w:hAnsi="Times New Roman"/>
      <w:b/>
      <w:bCs/>
      <w:sz w:val="28"/>
      <w:szCs w:val="28"/>
    </w:rPr>
  </w:style>
  <w:style w:type="paragraph" w:styleId="Naslov5">
    <w:name w:val="heading 5"/>
    <w:basedOn w:val="Navaden"/>
    <w:next w:val="Navaden"/>
    <w:qFormat/>
    <w:rsid w:val="003F23F4"/>
    <w:pPr>
      <w:numPr>
        <w:ilvl w:val="4"/>
        <w:numId w:val="2"/>
      </w:numPr>
      <w:spacing w:before="240" w:after="60"/>
      <w:outlineLvl w:val="4"/>
    </w:pPr>
    <w:rPr>
      <w:b/>
      <w:bCs/>
      <w:i/>
      <w:iCs/>
      <w:sz w:val="26"/>
      <w:szCs w:val="26"/>
    </w:rPr>
  </w:style>
  <w:style w:type="paragraph" w:styleId="Naslov6">
    <w:name w:val="heading 6"/>
    <w:basedOn w:val="Navaden"/>
    <w:next w:val="Navaden"/>
    <w:qFormat/>
    <w:rsid w:val="003F23F4"/>
    <w:pPr>
      <w:numPr>
        <w:ilvl w:val="5"/>
        <w:numId w:val="2"/>
      </w:numPr>
      <w:spacing w:before="240" w:after="60"/>
      <w:outlineLvl w:val="5"/>
    </w:pPr>
    <w:rPr>
      <w:rFonts w:ascii="Times New Roman" w:hAnsi="Times New Roman"/>
      <w:b/>
      <w:bCs/>
      <w:szCs w:val="22"/>
    </w:rPr>
  </w:style>
  <w:style w:type="paragraph" w:styleId="Naslov7">
    <w:name w:val="heading 7"/>
    <w:basedOn w:val="Navaden"/>
    <w:next w:val="Navaden"/>
    <w:qFormat/>
    <w:rsid w:val="003F23F4"/>
    <w:pPr>
      <w:numPr>
        <w:ilvl w:val="6"/>
        <w:numId w:val="2"/>
      </w:numPr>
      <w:spacing w:before="240" w:after="60"/>
      <w:outlineLvl w:val="6"/>
    </w:pPr>
    <w:rPr>
      <w:rFonts w:ascii="Times New Roman" w:hAnsi="Times New Roman"/>
      <w:sz w:val="24"/>
      <w:szCs w:val="24"/>
    </w:rPr>
  </w:style>
  <w:style w:type="paragraph" w:styleId="Naslov8">
    <w:name w:val="heading 8"/>
    <w:basedOn w:val="Navaden"/>
    <w:next w:val="Navaden"/>
    <w:qFormat/>
    <w:rsid w:val="003F23F4"/>
    <w:pPr>
      <w:numPr>
        <w:ilvl w:val="7"/>
        <w:numId w:val="2"/>
      </w:numPr>
      <w:spacing w:before="240" w:after="60"/>
      <w:outlineLvl w:val="7"/>
    </w:pPr>
    <w:rPr>
      <w:rFonts w:ascii="Times New Roman" w:hAnsi="Times New Roman"/>
      <w:i/>
      <w:iCs/>
      <w:sz w:val="24"/>
      <w:szCs w:val="24"/>
    </w:rPr>
  </w:style>
  <w:style w:type="paragraph" w:styleId="Naslov9">
    <w:name w:val="heading 9"/>
    <w:basedOn w:val="Navaden"/>
    <w:next w:val="Navaden"/>
    <w:qFormat/>
    <w:rsid w:val="003F23F4"/>
    <w:pPr>
      <w:numPr>
        <w:ilvl w:val="8"/>
        <w:numId w:val="2"/>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NapisArial11ptNeKrepko">
    <w:name w:val="Slog Napis + Arial 11 pt Ne Krepko"/>
    <w:basedOn w:val="Napis"/>
    <w:autoRedefine/>
    <w:rsid w:val="0052660E"/>
    <w:rPr>
      <w:rFonts w:ascii="Arial" w:hAnsi="Arial"/>
      <w:b/>
      <w:bCs w:val="0"/>
    </w:rPr>
  </w:style>
  <w:style w:type="paragraph" w:styleId="Napis">
    <w:name w:val="caption"/>
    <w:basedOn w:val="Navaden"/>
    <w:next w:val="Navaden"/>
    <w:link w:val="NapisZnak"/>
    <w:qFormat/>
    <w:rsid w:val="00BF1D27"/>
    <w:pPr>
      <w:spacing w:before="120" w:after="120"/>
      <w:ind w:left="1588" w:hanging="1588"/>
      <w:jc w:val="left"/>
    </w:pPr>
    <w:rPr>
      <w:rFonts w:ascii="Verdana" w:hAnsi="Verdana"/>
      <w:bCs/>
    </w:rPr>
  </w:style>
  <w:style w:type="paragraph" w:styleId="Noga">
    <w:name w:val="footer"/>
    <w:basedOn w:val="Navaden"/>
    <w:link w:val="NogaZnak"/>
    <w:uiPriority w:val="99"/>
    <w:rsid w:val="0065326F"/>
    <w:pPr>
      <w:tabs>
        <w:tab w:val="center" w:pos="4536"/>
        <w:tab w:val="right" w:pos="9072"/>
      </w:tabs>
    </w:pPr>
  </w:style>
  <w:style w:type="character" w:styleId="tevilkastrani">
    <w:name w:val="page number"/>
    <w:basedOn w:val="Privzetapisavaodstavka"/>
    <w:rsid w:val="0065326F"/>
  </w:style>
  <w:style w:type="paragraph" w:styleId="Telobesedila">
    <w:name w:val="Body Text"/>
    <w:basedOn w:val="Navaden"/>
    <w:link w:val="TelobesedilaZnak"/>
    <w:rsid w:val="00CA782F"/>
    <w:pPr>
      <w:spacing w:after="120"/>
    </w:pPr>
    <w:rPr>
      <w:rFonts w:ascii="Verdana" w:hAnsi="Verdana"/>
    </w:rPr>
  </w:style>
  <w:style w:type="paragraph" w:styleId="Sprotnaopomba-besedilo">
    <w:name w:val="footnote text"/>
    <w:basedOn w:val="Navaden"/>
    <w:semiHidden/>
    <w:rsid w:val="0065326F"/>
  </w:style>
  <w:style w:type="character" w:styleId="Sprotnaopomba-sklic">
    <w:name w:val="footnote reference"/>
    <w:semiHidden/>
    <w:rsid w:val="0065326F"/>
    <w:rPr>
      <w:vertAlign w:val="superscript"/>
    </w:rPr>
  </w:style>
  <w:style w:type="table" w:styleId="Tabelapreprosta1">
    <w:name w:val="Table Simple 1"/>
    <w:basedOn w:val="Navadnatabela"/>
    <w:rsid w:val="0065326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logSprotnaopomba-besediloZa6pt">
    <w:name w:val="Slog Sprotna opomba - besedilo + Za:  6 pt"/>
    <w:basedOn w:val="Sprotnaopomba-besedilo"/>
    <w:rsid w:val="0065326F"/>
    <w:pPr>
      <w:spacing w:after="120"/>
    </w:pPr>
    <w:rPr>
      <w:sz w:val="18"/>
    </w:rPr>
  </w:style>
  <w:style w:type="paragraph" w:styleId="Kazalovsebine1">
    <w:name w:val="toc 1"/>
    <w:basedOn w:val="Navaden"/>
    <w:next w:val="Navaden"/>
    <w:autoRedefine/>
    <w:semiHidden/>
    <w:rsid w:val="00EC073F"/>
    <w:pPr>
      <w:tabs>
        <w:tab w:val="left" w:pos="440"/>
        <w:tab w:val="left" w:pos="879"/>
        <w:tab w:val="right" w:leader="dot" w:pos="9060"/>
      </w:tabs>
      <w:spacing w:before="120"/>
      <w:ind w:left="454" w:hanging="454"/>
      <w:jc w:val="left"/>
    </w:pPr>
    <w:rPr>
      <w:b/>
      <w:bCs/>
      <w:iCs/>
      <w:sz w:val="24"/>
      <w:szCs w:val="24"/>
    </w:rPr>
  </w:style>
  <w:style w:type="paragraph" w:styleId="Kazalovsebine2">
    <w:name w:val="toc 2"/>
    <w:basedOn w:val="Navaden"/>
    <w:next w:val="Navaden"/>
    <w:semiHidden/>
    <w:rsid w:val="00EC073F"/>
    <w:pPr>
      <w:tabs>
        <w:tab w:val="left" w:pos="880"/>
        <w:tab w:val="right" w:leader="dot" w:pos="9060"/>
      </w:tabs>
      <w:spacing w:before="120"/>
      <w:jc w:val="left"/>
    </w:pPr>
    <w:rPr>
      <w:bCs/>
      <w:smallCaps/>
      <w:szCs w:val="22"/>
    </w:rPr>
  </w:style>
  <w:style w:type="character" w:styleId="Hiperpovezava">
    <w:name w:val="Hyperlink"/>
    <w:uiPriority w:val="99"/>
    <w:rsid w:val="0065326F"/>
    <w:rPr>
      <w:color w:val="0000FF"/>
      <w:u w:val="single"/>
    </w:rPr>
  </w:style>
  <w:style w:type="paragraph" w:customStyle="1" w:styleId="SlogNapis11pt">
    <w:name w:val="Slog Napis + 11 pt"/>
    <w:basedOn w:val="Napis"/>
    <w:rsid w:val="008D2E21"/>
    <w:pPr>
      <w:spacing w:after="60"/>
      <w:ind w:left="1531" w:hanging="1531"/>
    </w:pPr>
    <w:rPr>
      <w:b/>
      <w:i/>
    </w:rPr>
  </w:style>
  <w:style w:type="paragraph" w:customStyle="1" w:styleId="SlogSlogNapis11ptNasredini">
    <w:name w:val="Slog Slog Napis + 11 pt + Na sredini"/>
    <w:basedOn w:val="SlogNapis11pt"/>
    <w:rsid w:val="007376AE"/>
    <w:pPr>
      <w:spacing w:before="60"/>
      <w:jc w:val="center"/>
    </w:pPr>
    <w:rPr>
      <w:bCs w:val="0"/>
      <w:iCs/>
    </w:rPr>
  </w:style>
  <w:style w:type="character" w:customStyle="1" w:styleId="NapisZnak">
    <w:name w:val="Napis Znak"/>
    <w:link w:val="Napis"/>
    <w:rsid w:val="00BF1D27"/>
    <w:rPr>
      <w:rFonts w:ascii="Verdana" w:hAnsi="Verdana"/>
      <w:bCs/>
      <w:sz w:val="22"/>
    </w:rPr>
  </w:style>
  <w:style w:type="paragraph" w:customStyle="1" w:styleId="SlogNaslov1Pred6ptPo0pt">
    <w:name w:val="Slog Naslov 1 + Pred:  6 pt Po:  0 pt"/>
    <w:basedOn w:val="Naslov1"/>
    <w:rsid w:val="00497A04"/>
    <w:pPr>
      <w:spacing w:after="0"/>
    </w:pPr>
    <w:rPr>
      <w:rFonts w:cs="Times New Roman"/>
      <w:szCs w:val="20"/>
    </w:rPr>
  </w:style>
  <w:style w:type="table" w:customStyle="1" w:styleId="Tabela-enostavna11">
    <w:name w:val="Tabela - enostavna 11"/>
    <w:basedOn w:val="Navadnatabela"/>
    <w:next w:val="Tabelapreprosta1"/>
    <w:rsid w:val="00366B2A"/>
    <w:tblPr>
      <w:jc w:val="center"/>
      <w:tblBorders>
        <w:top w:val="single" w:sz="12" w:space="0" w:color="008000"/>
        <w:bottom w:val="single" w:sz="12" w:space="0" w:color="008000"/>
      </w:tblBorders>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nil"/>
        </w:tcBorders>
        <w:shd w:val="clear" w:color="auto" w:fill="auto"/>
      </w:tcPr>
    </w:tblStylePr>
  </w:style>
  <w:style w:type="paragraph" w:styleId="Glava">
    <w:name w:val="header"/>
    <w:basedOn w:val="Navaden"/>
    <w:rsid w:val="00E14C68"/>
    <w:pPr>
      <w:tabs>
        <w:tab w:val="center" w:pos="4536"/>
        <w:tab w:val="right" w:pos="9072"/>
      </w:tabs>
    </w:pPr>
  </w:style>
  <w:style w:type="paragraph" w:styleId="Kazalovsebine3">
    <w:name w:val="toc 3"/>
    <w:basedOn w:val="Navaden"/>
    <w:next w:val="Navaden"/>
    <w:autoRedefine/>
    <w:semiHidden/>
    <w:rsid w:val="00EC073F"/>
    <w:pPr>
      <w:ind w:left="440"/>
      <w:jc w:val="left"/>
    </w:pPr>
    <w:rPr>
      <w:rFonts w:ascii="Times New Roman" w:hAnsi="Times New Roman"/>
      <w:sz w:val="20"/>
    </w:rPr>
  </w:style>
  <w:style w:type="paragraph" w:styleId="Kazalovsebine4">
    <w:name w:val="toc 4"/>
    <w:basedOn w:val="Navaden"/>
    <w:next w:val="Navaden"/>
    <w:autoRedefine/>
    <w:semiHidden/>
    <w:rsid w:val="00EC073F"/>
    <w:pPr>
      <w:ind w:left="660"/>
      <w:jc w:val="left"/>
    </w:pPr>
    <w:rPr>
      <w:rFonts w:ascii="Times New Roman" w:hAnsi="Times New Roman"/>
      <w:sz w:val="20"/>
    </w:rPr>
  </w:style>
  <w:style w:type="paragraph" w:styleId="Kazalovsebine5">
    <w:name w:val="toc 5"/>
    <w:basedOn w:val="Navaden"/>
    <w:next w:val="Navaden"/>
    <w:autoRedefine/>
    <w:semiHidden/>
    <w:rsid w:val="00EC073F"/>
    <w:pPr>
      <w:ind w:left="880"/>
      <w:jc w:val="left"/>
    </w:pPr>
    <w:rPr>
      <w:rFonts w:ascii="Times New Roman" w:hAnsi="Times New Roman"/>
      <w:sz w:val="20"/>
    </w:rPr>
  </w:style>
  <w:style w:type="paragraph" w:styleId="Kazalovsebine6">
    <w:name w:val="toc 6"/>
    <w:basedOn w:val="Navaden"/>
    <w:next w:val="Navaden"/>
    <w:autoRedefine/>
    <w:semiHidden/>
    <w:rsid w:val="00EC073F"/>
    <w:pPr>
      <w:ind w:left="1100"/>
      <w:jc w:val="left"/>
    </w:pPr>
    <w:rPr>
      <w:rFonts w:ascii="Times New Roman" w:hAnsi="Times New Roman"/>
      <w:sz w:val="20"/>
    </w:rPr>
  </w:style>
  <w:style w:type="paragraph" w:styleId="Kazalovsebine7">
    <w:name w:val="toc 7"/>
    <w:basedOn w:val="Navaden"/>
    <w:next w:val="Navaden"/>
    <w:autoRedefine/>
    <w:semiHidden/>
    <w:rsid w:val="00EC073F"/>
    <w:pPr>
      <w:ind w:left="1320"/>
      <w:jc w:val="left"/>
    </w:pPr>
    <w:rPr>
      <w:rFonts w:ascii="Times New Roman" w:hAnsi="Times New Roman"/>
      <w:sz w:val="20"/>
    </w:rPr>
  </w:style>
  <w:style w:type="paragraph" w:styleId="Kazalovsebine8">
    <w:name w:val="toc 8"/>
    <w:basedOn w:val="Navaden"/>
    <w:next w:val="Navaden"/>
    <w:autoRedefine/>
    <w:semiHidden/>
    <w:rsid w:val="00EC073F"/>
    <w:pPr>
      <w:ind w:left="1540"/>
      <w:jc w:val="left"/>
    </w:pPr>
    <w:rPr>
      <w:rFonts w:ascii="Times New Roman" w:hAnsi="Times New Roman"/>
      <w:sz w:val="20"/>
    </w:rPr>
  </w:style>
  <w:style w:type="paragraph" w:styleId="Kazalovsebine9">
    <w:name w:val="toc 9"/>
    <w:basedOn w:val="Navaden"/>
    <w:next w:val="Navaden"/>
    <w:autoRedefine/>
    <w:semiHidden/>
    <w:rsid w:val="00EC073F"/>
    <w:pPr>
      <w:ind w:left="1760"/>
      <w:jc w:val="left"/>
    </w:pPr>
    <w:rPr>
      <w:rFonts w:ascii="Times New Roman" w:hAnsi="Times New Roman"/>
      <w:sz w:val="20"/>
    </w:rPr>
  </w:style>
  <w:style w:type="character" w:customStyle="1" w:styleId="TelobesedilaZnak">
    <w:name w:val="Telo besedila Znak"/>
    <w:link w:val="Telobesedila"/>
    <w:rsid w:val="00CA782F"/>
    <w:rPr>
      <w:rFonts w:ascii="Verdana" w:hAnsi="Verdana"/>
      <w:sz w:val="22"/>
      <w:lang w:val="sl-SI" w:eastAsia="sl-SI" w:bidi="ar-SA"/>
    </w:rPr>
  </w:style>
  <w:style w:type="table" w:styleId="Tabelamrea">
    <w:name w:val="Table Grid"/>
    <w:basedOn w:val="Navadnatabela"/>
    <w:rsid w:val="000F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0F5C21"/>
    <w:rPr>
      <w:rFonts w:ascii="Tahoma" w:hAnsi="Tahoma" w:cs="Tahoma"/>
      <w:sz w:val="16"/>
      <w:szCs w:val="16"/>
    </w:rPr>
  </w:style>
  <w:style w:type="character" w:customStyle="1" w:styleId="BesedilooblakaZnak">
    <w:name w:val="Besedilo oblačka Znak"/>
    <w:link w:val="Besedilooblaka"/>
    <w:rsid w:val="000F5C21"/>
    <w:rPr>
      <w:rFonts w:ascii="Tahoma" w:hAnsi="Tahoma" w:cs="Tahoma"/>
      <w:sz w:val="16"/>
      <w:szCs w:val="16"/>
    </w:rPr>
  </w:style>
  <w:style w:type="paragraph" w:styleId="Kazaloslik">
    <w:name w:val="table of figures"/>
    <w:basedOn w:val="Navaden"/>
    <w:next w:val="Navaden"/>
    <w:uiPriority w:val="99"/>
    <w:rsid w:val="00361387"/>
  </w:style>
  <w:style w:type="character" w:customStyle="1" w:styleId="NogaZnak">
    <w:name w:val="Noga Znak"/>
    <w:link w:val="Noga"/>
    <w:uiPriority w:val="99"/>
    <w:rsid w:val="00E67094"/>
    <w:rPr>
      <w:rFonts w:ascii="Arial" w:hAnsi="Arial"/>
      <w:sz w:val="22"/>
    </w:rPr>
  </w:style>
  <w:style w:type="paragraph" w:styleId="Konnaopomba-besedilo">
    <w:name w:val="endnote text"/>
    <w:basedOn w:val="Navaden"/>
    <w:link w:val="Konnaopomba-besediloZnak"/>
    <w:rsid w:val="00E67094"/>
    <w:rPr>
      <w:sz w:val="20"/>
    </w:rPr>
  </w:style>
  <w:style w:type="character" w:customStyle="1" w:styleId="Konnaopomba-besediloZnak">
    <w:name w:val="Končna opomba - besedilo Znak"/>
    <w:link w:val="Konnaopomba-besedilo"/>
    <w:rsid w:val="00E67094"/>
    <w:rPr>
      <w:rFonts w:ascii="Arial" w:hAnsi="Arial"/>
    </w:rPr>
  </w:style>
  <w:style w:type="character" w:styleId="Konnaopomba-sklic">
    <w:name w:val="endnote reference"/>
    <w:rsid w:val="00E67094"/>
    <w:rPr>
      <w:vertAlign w:val="superscript"/>
    </w:rPr>
  </w:style>
  <w:style w:type="paragraph" w:styleId="Odstavekseznama">
    <w:name w:val="List Paragraph"/>
    <w:basedOn w:val="Navaden"/>
    <w:uiPriority w:val="34"/>
    <w:qFormat/>
    <w:rsid w:val="0046649C"/>
    <w:pPr>
      <w:ind w:left="720"/>
      <w:contextualSpacing/>
    </w:pPr>
  </w:style>
  <w:style w:type="paragraph" w:styleId="Stvarnokazalo1">
    <w:name w:val="index 1"/>
    <w:basedOn w:val="Navaden"/>
    <w:next w:val="Navaden"/>
    <w:autoRedefine/>
    <w:rsid w:val="004F6FB9"/>
    <w:pPr>
      <w:ind w:left="220" w:hanging="220"/>
      <w:jc w:val="left"/>
    </w:pPr>
    <w:rPr>
      <w:rFonts w:asciiTheme="minorHAnsi" w:hAnsiTheme="minorHAnsi"/>
      <w:sz w:val="18"/>
      <w:szCs w:val="18"/>
    </w:rPr>
  </w:style>
  <w:style w:type="paragraph" w:styleId="Stvarnokazalo2">
    <w:name w:val="index 2"/>
    <w:basedOn w:val="Navaden"/>
    <w:next w:val="Navaden"/>
    <w:autoRedefine/>
    <w:rsid w:val="004F6FB9"/>
    <w:pPr>
      <w:ind w:left="440" w:hanging="220"/>
      <w:jc w:val="left"/>
    </w:pPr>
    <w:rPr>
      <w:rFonts w:asciiTheme="minorHAnsi" w:hAnsiTheme="minorHAnsi"/>
      <w:sz w:val="18"/>
      <w:szCs w:val="18"/>
    </w:rPr>
  </w:style>
  <w:style w:type="paragraph" w:styleId="Stvarnokazalo3">
    <w:name w:val="index 3"/>
    <w:basedOn w:val="Navaden"/>
    <w:next w:val="Navaden"/>
    <w:autoRedefine/>
    <w:rsid w:val="004F6FB9"/>
    <w:pPr>
      <w:ind w:left="660" w:hanging="220"/>
      <w:jc w:val="left"/>
    </w:pPr>
    <w:rPr>
      <w:rFonts w:asciiTheme="minorHAnsi" w:hAnsiTheme="minorHAnsi"/>
      <w:sz w:val="18"/>
      <w:szCs w:val="18"/>
    </w:rPr>
  </w:style>
  <w:style w:type="paragraph" w:styleId="Stvarnokazalo4">
    <w:name w:val="index 4"/>
    <w:basedOn w:val="Navaden"/>
    <w:next w:val="Navaden"/>
    <w:autoRedefine/>
    <w:rsid w:val="004F6FB9"/>
    <w:pPr>
      <w:ind w:left="880" w:hanging="220"/>
      <w:jc w:val="left"/>
    </w:pPr>
    <w:rPr>
      <w:rFonts w:asciiTheme="minorHAnsi" w:hAnsiTheme="minorHAnsi"/>
      <w:sz w:val="18"/>
      <w:szCs w:val="18"/>
    </w:rPr>
  </w:style>
  <w:style w:type="paragraph" w:styleId="Stvarnokazalo5">
    <w:name w:val="index 5"/>
    <w:basedOn w:val="Navaden"/>
    <w:next w:val="Navaden"/>
    <w:autoRedefine/>
    <w:rsid w:val="004F6FB9"/>
    <w:pPr>
      <w:ind w:left="1100" w:hanging="220"/>
      <w:jc w:val="left"/>
    </w:pPr>
    <w:rPr>
      <w:rFonts w:asciiTheme="minorHAnsi" w:hAnsiTheme="minorHAnsi"/>
      <w:sz w:val="18"/>
      <w:szCs w:val="18"/>
    </w:rPr>
  </w:style>
  <w:style w:type="paragraph" w:styleId="Stvarnokazalo6">
    <w:name w:val="index 6"/>
    <w:basedOn w:val="Navaden"/>
    <w:next w:val="Navaden"/>
    <w:autoRedefine/>
    <w:rsid w:val="004F6FB9"/>
    <w:pPr>
      <w:ind w:left="1320" w:hanging="220"/>
      <w:jc w:val="left"/>
    </w:pPr>
    <w:rPr>
      <w:rFonts w:asciiTheme="minorHAnsi" w:hAnsiTheme="minorHAnsi"/>
      <w:sz w:val="18"/>
      <w:szCs w:val="18"/>
    </w:rPr>
  </w:style>
  <w:style w:type="paragraph" w:styleId="Stvarnokazalo7">
    <w:name w:val="index 7"/>
    <w:basedOn w:val="Navaden"/>
    <w:next w:val="Navaden"/>
    <w:autoRedefine/>
    <w:rsid w:val="004F6FB9"/>
    <w:pPr>
      <w:ind w:left="1540" w:hanging="220"/>
      <w:jc w:val="left"/>
    </w:pPr>
    <w:rPr>
      <w:rFonts w:asciiTheme="minorHAnsi" w:hAnsiTheme="minorHAnsi"/>
      <w:sz w:val="18"/>
      <w:szCs w:val="18"/>
    </w:rPr>
  </w:style>
  <w:style w:type="paragraph" w:styleId="Stvarnokazalo8">
    <w:name w:val="index 8"/>
    <w:basedOn w:val="Navaden"/>
    <w:next w:val="Navaden"/>
    <w:autoRedefine/>
    <w:rsid w:val="004F6FB9"/>
    <w:pPr>
      <w:ind w:left="1760" w:hanging="220"/>
      <w:jc w:val="left"/>
    </w:pPr>
    <w:rPr>
      <w:rFonts w:asciiTheme="minorHAnsi" w:hAnsiTheme="minorHAnsi"/>
      <w:sz w:val="18"/>
      <w:szCs w:val="18"/>
    </w:rPr>
  </w:style>
  <w:style w:type="paragraph" w:styleId="Stvarnokazalo9">
    <w:name w:val="index 9"/>
    <w:basedOn w:val="Navaden"/>
    <w:next w:val="Navaden"/>
    <w:autoRedefine/>
    <w:rsid w:val="004F6FB9"/>
    <w:pPr>
      <w:ind w:left="1980" w:hanging="220"/>
      <w:jc w:val="left"/>
    </w:pPr>
    <w:rPr>
      <w:rFonts w:asciiTheme="minorHAnsi" w:hAnsiTheme="minorHAnsi"/>
      <w:sz w:val="18"/>
      <w:szCs w:val="18"/>
    </w:rPr>
  </w:style>
  <w:style w:type="paragraph" w:styleId="Stvarnokazalo-naslov">
    <w:name w:val="index heading"/>
    <w:basedOn w:val="Navaden"/>
    <w:next w:val="Stvarnokazalo1"/>
    <w:rsid w:val="004F6FB9"/>
    <w:pPr>
      <w:pBdr>
        <w:top w:val="single" w:sz="12" w:space="0" w:color="auto"/>
      </w:pBdr>
      <w:spacing w:before="360" w:after="240"/>
      <w:jc w:val="left"/>
    </w:pPr>
    <w:rPr>
      <w:rFonts w:asciiTheme="minorHAnsi" w:hAnsiTheme="minorHAnsi"/>
      <w:b/>
      <w:bCs/>
      <w:i/>
      <w:iCs/>
      <w:sz w:val="26"/>
      <w:szCs w:val="26"/>
    </w:rPr>
  </w:style>
  <w:style w:type="character" w:styleId="Pripombasklic">
    <w:name w:val="annotation reference"/>
    <w:basedOn w:val="Privzetapisavaodstavka"/>
    <w:rsid w:val="00632ECB"/>
    <w:rPr>
      <w:sz w:val="16"/>
      <w:szCs w:val="16"/>
    </w:rPr>
  </w:style>
  <w:style w:type="paragraph" w:styleId="Pripombabesedilo">
    <w:name w:val="annotation text"/>
    <w:basedOn w:val="Navaden"/>
    <w:link w:val="PripombabesediloZnak"/>
    <w:rsid w:val="00632ECB"/>
    <w:rPr>
      <w:sz w:val="20"/>
    </w:rPr>
  </w:style>
  <w:style w:type="character" w:customStyle="1" w:styleId="PripombabesediloZnak">
    <w:name w:val="Pripomba – besedilo Znak"/>
    <w:basedOn w:val="Privzetapisavaodstavka"/>
    <w:link w:val="Pripombabesedilo"/>
    <w:rsid w:val="00632ECB"/>
    <w:rPr>
      <w:rFonts w:ascii="Arial" w:hAnsi="Arial"/>
    </w:rPr>
  </w:style>
  <w:style w:type="paragraph" w:styleId="Zadevapripombe">
    <w:name w:val="annotation subject"/>
    <w:basedOn w:val="Pripombabesedilo"/>
    <w:next w:val="Pripombabesedilo"/>
    <w:link w:val="ZadevapripombeZnak"/>
    <w:rsid w:val="00632ECB"/>
    <w:rPr>
      <w:b/>
      <w:bCs/>
    </w:rPr>
  </w:style>
  <w:style w:type="character" w:customStyle="1" w:styleId="ZadevapripombeZnak">
    <w:name w:val="Zadeva pripombe Znak"/>
    <w:basedOn w:val="PripombabesediloZnak"/>
    <w:link w:val="Zadevapripombe"/>
    <w:rsid w:val="00632ECB"/>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B15426"/>
    <w:pPr>
      <w:jc w:val="both"/>
    </w:pPr>
    <w:rPr>
      <w:rFonts w:ascii="Arial" w:hAnsi="Arial"/>
      <w:sz w:val="22"/>
    </w:rPr>
  </w:style>
  <w:style w:type="paragraph" w:styleId="Naslov1">
    <w:name w:val="heading 1"/>
    <w:basedOn w:val="Navaden"/>
    <w:next w:val="Navaden"/>
    <w:qFormat/>
    <w:rsid w:val="007E60D6"/>
    <w:pPr>
      <w:keepNext/>
      <w:numPr>
        <w:numId w:val="2"/>
      </w:numPr>
      <w:tabs>
        <w:tab w:val="clear" w:pos="432"/>
        <w:tab w:val="left" w:pos="856"/>
      </w:tabs>
      <w:spacing w:before="120" w:after="240"/>
      <w:ind w:left="851" w:hanging="851"/>
      <w:outlineLvl w:val="0"/>
    </w:pPr>
    <w:rPr>
      <w:rFonts w:ascii="Verdana" w:hAnsi="Verdana" w:cs="Arial"/>
      <w:b/>
      <w:bCs/>
      <w:kern w:val="32"/>
      <w:szCs w:val="32"/>
    </w:rPr>
  </w:style>
  <w:style w:type="paragraph" w:styleId="Naslov2">
    <w:name w:val="heading 2"/>
    <w:basedOn w:val="Navaden"/>
    <w:next w:val="Navaden"/>
    <w:qFormat/>
    <w:rsid w:val="007E60D6"/>
    <w:pPr>
      <w:keepNext/>
      <w:numPr>
        <w:ilvl w:val="1"/>
        <w:numId w:val="2"/>
      </w:numPr>
      <w:tabs>
        <w:tab w:val="clear" w:pos="576"/>
        <w:tab w:val="left" w:pos="851"/>
      </w:tabs>
      <w:spacing w:before="240" w:after="240"/>
      <w:ind w:left="851" w:hanging="851"/>
      <w:outlineLvl w:val="1"/>
    </w:pPr>
    <w:rPr>
      <w:rFonts w:ascii="Verdana" w:hAnsi="Verdana" w:cs="Arial"/>
      <w:b/>
      <w:bCs/>
      <w:iCs/>
      <w:szCs w:val="28"/>
    </w:rPr>
  </w:style>
  <w:style w:type="paragraph" w:styleId="Naslov3">
    <w:name w:val="heading 3"/>
    <w:basedOn w:val="Navaden"/>
    <w:next w:val="Navaden"/>
    <w:qFormat/>
    <w:rsid w:val="003F23F4"/>
    <w:pPr>
      <w:keepNext/>
      <w:numPr>
        <w:ilvl w:val="2"/>
        <w:numId w:val="2"/>
      </w:numPr>
      <w:spacing w:before="240" w:after="60"/>
      <w:outlineLvl w:val="2"/>
    </w:pPr>
    <w:rPr>
      <w:rFonts w:cs="Arial"/>
      <w:b/>
      <w:bCs/>
      <w:sz w:val="26"/>
      <w:szCs w:val="26"/>
    </w:rPr>
  </w:style>
  <w:style w:type="paragraph" w:styleId="Naslov4">
    <w:name w:val="heading 4"/>
    <w:basedOn w:val="Navaden"/>
    <w:next w:val="Navaden"/>
    <w:qFormat/>
    <w:rsid w:val="003F23F4"/>
    <w:pPr>
      <w:keepNext/>
      <w:numPr>
        <w:ilvl w:val="3"/>
        <w:numId w:val="2"/>
      </w:numPr>
      <w:spacing w:before="240" w:after="60"/>
      <w:outlineLvl w:val="3"/>
    </w:pPr>
    <w:rPr>
      <w:rFonts w:ascii="Times New Roman" w:hAnsi="Times New Roman"/>
      <w:b/>
      <w:bCs/>
      <w:sz w:val="28"/>
      <w:szCs w:val="28"/>
    </w:rPr>
  </w:style>
  <w:style w:type="paragraph" w:styleId="Naslov5">
    <w:name w:val="heading 5"/>
    <w:basedOn w:val="Navaden"/>
    <w:next w:val="Navaden"/>
    <w:qFormat/>
    <w:rsid w:val="003F23F4"/>
    <w:pPr>
      <w:numPr>
        <w:ilvl w:val="4"/>
        <w:numId w:val="2"/>
      </w:numPr>
      <w:spacing w:before="240" w:after="60"/>
      <w:outlineLvl w:val="4"/>
    </w:pPr>
    <w:rPr>
      <w:b/>
      <w:bCs/>
      <w:i/>
      <w:iCs/>
      <w:sz w:val="26"/>
      <w:szCs w:val="26"/>
    </w:rPr>
  </w:style>
  <w:style w:type="paragraph" w:styleId="Naslov6">
    <w:name w:val="heading 6"/>
    <w:basedOn w:val="Navaden"/>
    <w:next w:val="Navaden"/>
    <w:qFormat/>
    <w:rsid w:val="003F23F4"/>
    <w:pPr>
      <w:numPr>
        <w:ilvl w:val="5"/>
        <w:numId w:val="2"/>
      </w:numPr>
      <w:spacing w:before="240" w:after="60"/>
      <w:outlineLvl w:val="5"/>
    </w:pPr>
    <w:rPr>
      <w:rFonts w:ascii="Times New Roman" w:hAnsi="Times New Roman"/>
      <w:b/>
      <w:bCs/>
      <w:szCs w:val="22"/>
    </w:rPr>
  </w:style>
  <w:style w:type="paragraph" w:styleId="Naslov7">
    <w:name w:val="heading 7"/>
    <w:basedOn w:val="Navaden"/>
    <w:next w:val="Navaden"/>
    <w:qFormat/>
    <w:rsid w:val="003F23F4"/>
    <w:pPr>
      <w:numPr>
        <w:ilvl w:val="6"/>
        <w:numId w:val="2"/>
      </w:numPr>
      <w:spacing w:before="240" w:after="60"/>
      <w:outlineLvl w:val="6"/>
    </w:pPr>
    <w:rPr>
      <w:rFonts w:ascii="Times New Roman" w:hAnsi="Times New Roman"/>
      <w:sz w:val="24"/>
      <w:szCs w:val="24"/>
    </w:rPr>
  </w:style>
  <w:style w:type="paragraph" w:styleId="Naslov8">
    <w:name w:val="heading 8"/>
    <w:basedOn w:val="Navaden"/>
    <w:next w:val="Navaden"/>
    <w:qFormat/>
    <w:rsid w:val="003F23F4"/>
    <w:pPr>
      <w:numPr>
        <w:ilvl w:val="7"/>
        <w:numId w:val="2"/>
      </w:numPr>
      <w:spacing w:before="240" w:after="60"/>
      <w:outlineLvl w:val="7"/>
    </w:pPr>
    <w:rPr>
      <w:rFonts w:ascii="Times New Roman" w:hAnsi="Times New Roman"/>
      <w:i/>
      <w:iCs/>
      <w:sz w:val="24"/>
      <w:szCs w:val="24"/>
    </w:rPr>
  </w:style>
  <w:style w:type="paragraph" w:styleId="Naslov9">
    <w:name w:val="heading 9"/>
    <w:basedOn w:val="Navaden"/>
    <w:next w:val="Navaden"/>
    <w:qFormat/>
    <w:rsid w:val="003F23F4"/>
    <w:pPr>
      <w:numPr>
        <w:ilvl w:val="8"/>
        <w:numId w:val="2"/>
      </w:numPr>
      <w:spacing w:before="240" w:after="60"/>
      <w:outlineLvl w:val="8"/>
    </w:pPr>
    <w:rPr>
      <w:rFonts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NapisArial11ptNeKrepko">
    <w:name w:val="Slog Napis + Arial 11 pt Ne Krepko"/>
    <w:basedOn w:val="Napis"/>
    <w:autoRedefine/>
    <w:rsid w:val="0052660E"/>
    <w:rPr>
      <w:rFonts w:ascii="Arial" w:hAnsi="Arial"/>
      <w:b/>
      <w:bCs w:val="0"/>
    </w:rPr>
  </w:style>
  <w:style w:type="paragraph" w:styleId="Napis">
    <w:name w:val="caption"/>
    <w:basedOn w:val="Navaden"/>
    <w:next w:val="Navaden"/>
    <w:link w:val="NapisZnak"/>
    <w:qFormat/>
    <w:rsid w:val="00BF1D27"/>
    <w:pPr>
      <w:spacing w:before="120" w:after="120"/>
      <w:ind w:left="1588" w:hanging="1588"/>
      <w:jc w:val="left"/>
    </w:pPr>
    <w:rPr>
      <w:rFonts w:ascii="Verdana" w:hAnsi="Verdana"/>
      <w:bCs/>
    </w:rPr>
  </w:style>
  <w:style w:type="paragraph" w:styleId="Noga">
    <w:name w:val="footer"/>
    <w:basedOn w:val="Navaden"/>
    <w:link w:val="NogaZnak"/>
    <w:uiPriority w:val="99"/>
    <w:rsid w:val="0065326F"/>
    <w:pPr>
      <w:tabs>
        <w:tab w:val="center" w:pos="4536"/>
        <w:tab w:val="right" w:pos="9072"/>
      </w:tabs>
    </w:pPr>
  </w:style>
  <w:style w:type="character" w:styleId="tevilkastrani">
    <w:name w:val="page number"/>
    <w:basedOn w:val="Privzetapisavaodstavka"/>
    <w:rsid w:val="0065326F"/>
  </w:style>
  <w:style w:type="paragraph" w:styleId="Telobesedila">
    <w:name w:val="Body Text"/>
    <w:basedOn w:val="Navaden"/>
    <w:link w:val="TelobesedilaZnak"/>
    <w:rsid w:val="00CA782F"/>
    <w:pPr>
      <w:spacing w:after="120"/>
    </w:pPr>
    <w:rPr>
      <w:rFonts w:ascii="Verdana" w:hAnsi="Verdana"/>
    </w:rPr>
  </w:style>
  <w:style w:type="paragraph" w:styleId="Sprotnaopomba-besedilo">
    <w:name w:val="footnote text"/>
    <w:basedOn w:val="Navaden"/>
    <w:semiHidden/>
    <w:rsid w:val="0065326F"/>
  </w:style>
  <w:style w:type="character" w:styleId="Sprotnaopomba-sklic">
    <w:name w:val="footnote reference"/>
    <w:semiHidden/>
    <w:rsid w:val="0065326F"/>
    <w:rPr>
      <w:vertAlign w:val="superscript"/>
    </w:rPr>
  </w:style>
  <w:style w:type="table" w:styleId="Tabelapreprosta1">
    <w:name w:val="Table Simple 1"/>
    <w:basedOn w:val="Navadnatabela"/>
    <w:rsid w:val="0065326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SlogSprotnaopomba-besediloZa6pt">
    <w:name w:val="Slog Sprotna opomba - besedilo + Za:  6 pt"/>
    <w:basedOn w:val="Sprotnaopomba-besedilo"/>
    <w:rsid w:val="0065326F"/>
    <w:pPr>
      <w:spacing w:after="120"/>
    </w:pPr>
    <w:rPr>
      <w:sz w:val="18"/>
    </w:rPr>
  </w:style>
  <w:style w:type="paragraph" w:styleId="Kazalovsebine1">
    <w:name w:val="toc 1"/>
    <w:basedOn w:val="Navaden"/>
    <w:next w:val="Navaden"/>
    <w:autoRedefine/>
    <w:semiHidden/>
    <w:rsid w:val="00EC073F"/>
    <w:pPr>
      <w:tabs>
        <w:tab w:val="left" w:pos="440"/>
        <w:tab w:val="left" w:pos="879"/>
        <w:tab w:val="right" w:leader="dot" w:pos="9060"/>
      </w:tabs>
      <w:spacing w:before="120"/>
      <w:ind w:left="454" w:hanging="454"/>
      <w:jc w:val="left"/>
    </w:pPr>
    <w:rPr>
      <w:b/>
      <w:bCs/>
      <w:iCs/>
      <w:sz w:val="24"/>
      <w:szCs w:val="24"/>
    </w:rPr>
  </w:style>
  <w:style w:type="paragraph" w:styleId="Kazalovsebine2">
    <w:name w:val="toc 2"/>
    <w:basedOn w:val="Navaden"/>
    <w:next w:val="Navaden"/>
    <w:semiHidden/>
    <w:rsid w:val="00EC073F"/>
    <w:pPr>
      <w:tabs>
        <w:tab w:val="left" w:pos="880"/>
        <w:tab w:val="right" w:leader="dot" w:pos="9060"/>
      </w:tabs>
      <w:spacing w:before="120"/>
      <w:jc w:val="left"/>
    </w:pPr>
    <w:rPr>
      <w:bCs/>
      <w:smallCaps/>
      <w:szCs w:val="22"/>
    </w:rPr>
  </w:style>
  <w:style w:type="character" w:styleId="Hiperpovezava">
    <w:name w:val="Hyperlink"/>
    <w:uiPriority w:val="99"/>
    <w:rsid w:val="0065326F"/>
    <w:rPr>
      <w:color w:val="0000FF"/>
      <w:u w:val="single"/>
    </w:rPr>
  </w:style>
  <w:style w:type="paragraph" w:customStyle="1" w:styleId="SlogNapis11pt">
    <w:name w:val="Slog Napis + 11 pt"/>
    <w:basedOn w:val="Napis"/>
    <w:rsid w:val="008D2E21"/>
    <w:pPr>
      <w:spacing w:after="60"/>
      <w:ind w:left="1531" w:hanging="1531"/>
    </w:pPr>
    <w:rPr>
      <w:b/>
      <w:i/>
    </w:rPr>
  </w:style>
  <w:style w:type="paragraph" w:customStyle="1" w:styleId="SlogSlogNapis11ptNasredini">
    <w:name w:val="Slog Slog Napis + 11 pt + Na sredini"/>
    <w:basedOn w:val="SlogNapis11pt"/>
    <w:rsid w:val="007376AE"/>
    <w:pPr>
      <w:spacing w:before="60"/>
      <w:jc w:val="center"/>
    </w:pPr>
    <w:rPr>
      <w:bCs w:val="0"/>
      <w:iCs/>
    </w:rPr>
  </w:style>
  <w:style w:type="character" w:customStyle="1" w:styleId="NapisZnak">
    <w:name w:val="Napis Znak"/>
    <w:link w:val="Napis"/>
    <w:rsid w:val="00BF1D27"/>
    <w:rPr>
      <w:rFonts w:ascii="Verdana" w:hAnsi="Verdana"/>
      <w:bCs/>
      <w:sz w:val="22"/>
    </w:rPr>
  </w:style>
  <w:style w:type="paragraph" w:customStyle="1" w:styleId="SlogNaslov1Pred6ptPo0pt">
    <w:name w:val="Slog Naslov 1 + Pred:  6 pt Po:  0 pt"/>
    <w:basedOn w:val="Naslov1"/>
    <w:rsid w:val="00497A04"/>
    <w:pPr>
      <w:spacing w:after="0"/>
    </w:pPr>
    <w:rPr>
      <w:rFonts w:cs="Times New Roman"/>
      <w:szCs w:val="20"/>
    </w:rPr>
  </w:style>
  <w:style w:type="table" w:customStyle="1" w:styleId="Tabela-enostavna11">
    <w:name w:val="Tabela - enostavna 11"/>
    <w:basedOn w:val="Navadnatabela"/>
    <w:next w:val="Tabelapreprosta1"/>
    <w:rsid w:val="00366B2A"/>
    <w:tblPr>
      <w:jc w:val="center"/>
      <w:tblBorders>
        <w:top w:val="single" w:sz="12" w:space="0" w:color="008000"/>
        <w:bottom w:val="single" w:sz="12" w:space="0" w:color="008000"/>
      </w:tblBorders>
    </w:tblPr>
    <w:trPr>
      <w:jc w:val="center"/>
    </w:tr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nil"/>
        </w:tcBorders>
        <w:shd w:val="clear" w:color="auto" w:fill="auto"/>
      </w:tcPr>
    </w:tblStylePr>
  </w:style>
  <w:style w:type="paragraph" w:styleId="Glava">
    <w:name w:val="header"/>
    <w:basedOn w:val="Navaden"/>
    <w:rsid w:val="00E14C68"/>
    <w:pPr>
      <w:tabs>
        <w:tab w:val="center" w:pos="4536"/>
        <w:tab w:val="right" w:pos="9072"/>
      </w:tabs>
    </w:pPr>
  </w:style>
  <w:style w:type="paragraph" w:styleId="Kazalovsebine3">
    <w:name w:val="toc 3"/>
    <w:basedOn w:val="Navaden"/>
    <w:next w:val="Navaden"/>
    <w:autoRedefine/>
    <w:semiHidden/>
    <w:rsid w:val="00EC073F"/>
    <w:pPr>
      <w:ind w:left="440"/>
      <w:jc w:val="left"/>
    </w:pPr>
    <w:rPr>
      <w:rFonts w:ascii="Times New Roman" w:hAnsi="Times New Roman"/>
      <w:sz w:val="20"/>
    </w:rPr>
  </w:style>
  <w:style w:type="paragraph" w:styleId="Kazalovsebine4">
    <w:name w:val="toc 4"/>
    <w:basedOn w:val="Navaden"/>
    <w:next w:val="Navaden"/>
    <w:autoRedefine/>
    <w:semiHidden/>
    <w:rsid w:val="00EC073F"/>
    <w:pPr>
      <w:ind w:left="660"/>
      <w:jc w:val="left"/>
    </w:pPr>
    <w:rPr>
      <w:rFonts w:ascii="Times New Roman" w:hAnsi="Times New Roman"/>
      <w:sz w:val="20"/>
    </w:rPr>
  </w:style>
  <w:style w:type="paragraph" w:styleId="Kazalovsebine5">
    <w:name w:val="toc 5"/>
    <w:basedOn w:val="Navaden"/>
    <w:next w:val="Navaden"/>
    <w:autoRedefine/>
    <w:semiHidden/>
    <w:rsid w:val="00EC073F"/>
    <w:pPr>
      <w:ind w:left="880"/>
      <w:jc w:val="left"/>
    </w:pPr>
    <w:rPr>
      <w:rFonts w:ascii="Times New Roman" w:hAnsi="Times New Roman"/>
      <w:sz w:val="20"/>
    </w:rPr>
  </w:style>
  <w:style w:type="paragraph" w:styleId="Kazalovsebine6">
    <w:name w:val="toc 6"/>
    <w:basedOn w:val="Navaden"/>
    <w:next w:val="Navaden"/>
    <w:autoRedefine/>
    <w:semiHidden/>
    <w:rsid w:val="00EC073F"/>
    <w:pPr>
      <w:ind w:left="1100"/>
      <w:jc w:val="left"/>
    </w:pPr>
    <w:rPr>
      <w:rFonts w:ascii="Times New Roman" w:hAnsi="Times New Roman"/>
      <w:sz w:val="20"/>
    </w:rPr>
  </w:style>
  <w:style w:type="paragraph" w:styleId="Kazalovsebine7">
    <w:name w:val="toc 7"/>
    <w:basedOn w:val="Navaden"/>
    <w:next w:val="Navaden"/>
    <w:autoRedefine/>
    <w:semiHidden/>
    <w:rsid w:val="00EC073F"/>
    <w:pPr>
      <w:ind w:left="1320"/>
      <w:jc w:val="left"/>
    </w:pPr>
    <w:rPr>
      <w:rFonts w:ascii="Times New Roman" w:hAnsi="Times New Roman"/>
      <w:sz w:val="20"/>
    </w:rPr>
  </w:style>
  <w:style w:type="paragraph" w:styleId="Kazalovsebine8">
    <w:name w:val="toc 8"/>
    <w:basedOn w:val="Navaden"/>
    <w:next w:val="Navaden"/>
    <w:autoRedefine/>
    <w:semiHidden/>
    <w:rsid w:val="00EC073F"/>
    <w:pPr>
      <w:ind w:left="1540"/>
      <w:jc w:val="left"/>
    </w:pPr>
    <w:rPr>
      <w:rFonts w:ascii="Times New Roman" w:hAnsi="Times New Roman"/>
      <w:sz w:val="20"/>
    </w:rPr>
  </w:style>
  <w:style w:type="paragraph" w:styleId="Kazalovsebine9">
    <w:name w:val="toc 9"/>
    <w:basedOn w:val="Navaden"/>
    <w:next w:val="Navaden"/>
    <w:autoRedefine/>
    <w:semiHidden/>
    <w:rsid w:val="00EC073F"/>
    <w:pPr>
      <w:ind w:left="1760"/>
      <w:jc w:val="left"/>
    </w:pPr>
    <w:rPr>
      <w:rFonts w:ascii="Times New Roman" w:hAnsi="Times New Roman"/>
      <w:sz w:val="20"/>
    </w:rPr>
  </w:style>
  <w:style w:type="character" w:customStyle="1" w:styleId="TelobesedilaZnak">
    <w:name w:val="Telo besedila Znak"/>
    <w:link w:val="Telobesedila"/>
    <w:rsid w:val="00CA782F"/>
    <w:rPr>
      <w:rFonts w:ascii="Verdana" w:hAnsi="Verdana"/>
      <w:sz w:val="22"/>
      <w:lang w:val="sl-SI" w:eastAsia="sl-SI" w:bidi="ar-SA"/>
    </w:rPr>
  </w:style>
  <w:style w:type="table" w:styleId="Tabelamrea">
    <w:name w:val="Table Grid"/>
    <w:basedOn w:val="Navadnatabela"/>
    <w:rsid w:val="000F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0F5C21"/>
    <w:rPr>
      <w:rFonts w:ascii="Tahoma" w:hAnsi="Tahoma" w:cs="Tahoma"/>
      <w:sz w:val="16"/>
      <w:szCs w:val="16"/>
    </w:rPr>
  </w:style>
  <w:style w:type="character" w:customStyle="1" w:styleId="BesedilooblakaZnak">
    <w:name w:val="Besedilo oblačka Znak"/>
    <w:link w:val="Besedilooblaka"/>
    <w:rsid w:val="000F5C21"/>
    <w:rPr>
      <w:rFonts w:ascii="Tahoma" w:hAnsi="Tahoma" w:cs="Tahoma"/>
      <w:sz w:val="16"/>
      <w:szCs w:val="16"/>
    </w:rPr>
  </w:style>
  <w:style w:type="paragraph" w:styleId="Kazaloslik">
    <w:name w:val="table of figures"/>
    <w:basedOn w:val="Navaden"/>
    <w:next w:val="Navaden"/>
    <w:uiPriority w:val="99"/>
    <w:rsid w:val="00361387"/>
  </w:style>
  <w:style w:type="character" w:customStyle="1" w:styleId="NogaZnak">
    <w:name w:val="Noga Znak"/>
    <w:link w:val="Noga"/>
    <w:uiPriority w:val="99"/>
    <w:rsid w:val="00E67094"/>
    <w:rPr>
      <w:rFonts w:ascii="Arial" w:hAnsi="Arial"/>
      <w:sz w:val="22"/>
    </w:rPr>
  </w:style>
  <w:style w:type="paragraph" w:styleId="Konnaopomba-besedilo">
    <w:name w:val="endnote text"/>
    <w:basedOn w:val="Navaden"/>
    <w:link w:val="Konnaopomba-besediloZnak"/>
    <w:rsid w:val="00E67094"/>
    <w:rPr>
      <w:sz w:val="20"/>
    </w:rPr>
  </w:style>
  <w:style w:type="character" w:customStyle="1" w:styleId="Konnaopomba-besediloZnak">
    <w:name w:val="Končna opomba - besedilo Znak"/>
    <w:link w:val="Konnaopomba-besedilo"/>
    <w:rsid w:val="00E67094"/>
    <w:rPr>
      <w:rFonts w:ascii="Arial" w:hAnsi="Arial"/>
    </w:rPr>
  </w:style>
  <w:style w:type="character" w:styleId="Konnaopomba-sklic">
    <w:name w:val="endnote reference"/>
    <w:rsid w:val="00E67094"/>
    <w:rPr>
      <w:vertAlign w:val="superscript"/>
    </w:rPr>
  </w:style>
  <w:style w:type="paragraph" w:styleId="Odstavekseznama">
    <w:name w:val="List Paragraph"/>
    <w:basedOn w:val="Navaden"/>
    <w:uiPriority w:val="34"/>
    <w:qFormat/>
    <w:rsid w:val="0046649C"/>
    <w:pPr>
      <w:ind w:left="720"/>
      <w:contextualSpacing/>
    </w:pPr>
  </w:style>
  <w:style w:type="paragraph" w:styleId="Stvarnokazalo1">
    <w:name w:val="index 1"/>
    <w:basedOn w:val="Navaden"/>
    <w:next w:val="Navaden"/>
    <w:autoRedefine/>
    <w:rsid w:val="004F6FB9"/>
    <w:pPr>
      <w:ind w:left="220" w:hanging="220"/>
      <w:jc w:val="left"/>
    </w:pPr>
    <w:rPr>
      <w:rFonts w:asciiTheme="minorHAnsi" w:hAnsiTheme="minorHAnsi"/>
      <w:sz w:val="18"/>
      <w:szCs w:val="18"/>
    </w:rPr>
  </w:style>
  <w:style w:type="paragraph" w:styleId="Stvarnokazalo2">
    <w:name w:val="index 2"/>
    <w:basedOn w:val="Navaden"/>
    <w:next w:val="Navaden"/>
    <w:autoRedefine/>
    <w:rsid w:val="004F6FB9"/>
    <w:pPr>
      <w:ind w:left="440" w:hanging="220"/>
      <w:jc w:val="left"/>
    </w:pPr>
    <w:rPr>
      <w:rFonts w:asciiTheme="minorHAnsi" w:hAnsiTheme="minorHAnsi"/>
      <w:sz w:val="18"/>
      <w:szCs w:val="18"/>
    </w:rPr>
  </w:style>
  <w:style w:type="paragraph" w:styleId="Stvarnokazalo3">
    <w:name w:val="index 3"/>
    <w:basedOn w:val="Navaden"/>
    <w:next w:val="Navaden"/>
    <w:autoRedefine/>
    <w:rsid w:val="004F6FB9"/>
    <w:pPr>
      <w:ind w:left="660" w:hanging="220"/>
      <w:jc w:val="left"/>
    </w:pPr>
    <w:rPr>
      <w:rFonts w:asciiTheme="minorHAnsi" w:hAnsiTheme="minorHAnsi"/>
      <w:sz w:val="18"/>
      <w:szCs w:val="18"/>
    </w:rPr>
  </w:style>
  <w:style w:type="paragraph" w:styleId="Stvarnokazalo4">
    <w:name w:val="index 4"/>
    <w:basedOn w:val="Navaden"/>
    <w:next w:val="Navaden"/>
    <w:autoRedefine/>
    <w:rsid w:val="004F6FB9"/>
    <w:pPr>
      <w:ind w:left="880" w:hanging="220"/>
      <w:jc w:val="left"/>
    </w:pPr>
    <w:rPr>
      <w:rFonts w:asciiTheme="minorHAnsi" w:hAnsiTheme="minorHAnsi"/>
      <w:sz w:val="18"/>
      <w:szCs w:val="18"/>
    </w:rPr>
  </w:style>
  <w:style w:type="paragraph" w:styleId="Stvarnokazalo5">
    <w:name w:val="index 5"/>
    <w:basedOn w:val="Navaden"/>
    <w:next w:val="Navaden"/>
    <w:autoRedefine/>
    <w:rsid w:val="004F6FB9"/>
    <w:pPr>
      <w:ind w:left="1100" w:hanging="220"/>
      <w:jc w:val="left"/>
    </w:pPr>
    <w:rPr>
      <w:rFonts w:asciiTheme="minorHAnsi" w:hAnsiTheme="minorHAnsi"/>
      <w:sz w:val="18"/>
      <w:szCs w:val="18"/>
    </w:rPr>
  </w:style>
  <w:style w:type="paragraph" w:styleId="Stvarnokazalo6">
    <w:name w:val="index 6"/>
    <w:basedOn w:val="Navaden"/>
    <w:next w:val="Navaden"/>
    <w:autoRedefine/>
    <w:rsid w:val="004F6FB9"/>
    <w:pPr>
      <w:ind w:left="1320" w:hanging="220"/>
      <w:jc w:val="left"/>
    </w:pPr>
    <w:rPr>
      <w:rFonts w:asciiTheme="minorHAnsi" w:hAnsiTheme="minorHAnsi"/>
      <w:sz w:val="18"/>
      <w:szCs w:val="18"/>
    </w:rPr>
  </w:style>
  <w:style w:type="paragraph" w:styleId="Stvarnokazalo7">
    <w:name w:val="index 7"/>
    <w:basedOn w:val="Navaden"/>
    <w:next w:val="Navaden"/>
    <w:autoRedefine/>
    <w:rsid w:val="004F6FB9"/>
    <w:pPr>
      <w:ind w:left="1540" w:hanging="220"/>
      <w:jc w:val="left"/>
    </w:pPr>
    <w:rPr>
      <w:rFonts w:asciiTheme="minorHAnsi" w:hAnsiTheme="minorHAnsi"/>
      <w:sz w:val="18"/>
      <w:szCs w:val="18"/>
    </w:rPr>
  </w:style>
  <w:style w:type="paragraph" w:styleId="Stvarnokazalo8">
    <w:name w:val="index 8"/>
    <w:basedOn w:val="Navaden"/>
    <w:next w:val="Navaden"/>
    <w:autoRedefine/>
    <w:rsid w:val="004F6FB9"/>
    <w:pPr>
      <w:ind w:left="1760" w:hanging="220"/>
      <w:jc w:val="left"/>
    </w:pPr>
    <w:rPr>
      <w:rFonts w:asciiTheme="minorHAnsi" w:hAnsiTheme="minorHAnsi"/>
      <w:sz w:val="18"/>
      <w:szCs w:val="18"/>
    </w:rPr>
  </w:style>
  <w:style w:type="paragraph" w:styleId="Stvarnokazalo9">
    <w:name w:val="index 9"/>
    <w:basedOn w:val="Navaden"/>
    <w:next w:val="Navaden"/>
    <w:autoRedefine/>
    <w:rsid w:val="004F6FB9"/>
    <w:pPr>
      <w:ind w:left="1980" w:hanging="220"/>
      <w:jc w:val="left"/>
    </w:pPr>
    <w:rPr>
      <w:rFonts w:asciiTheme="minorHAnsi" w:hAnsiTheme="minorHAnsi"/>
      <w:sz w:val="18"/>
      <w:szCs w:val="18"/>
    </w:rPr>
  </w:style>
  <w:style w:type="paragraph" w:styleId="Stvarnokazalo-naslov">
    <w:name w:val="index heading"/>
    <w:basedOn w:val="Navaden"/>
    <w:next w:val="Stvarnokazalo1"/>
    <w:rsid w:val="004F6FB9"/>
    <w:pPr>
      <w:pBdr>
        <w:top w:val="single" w:sz="12" w:space="0" w:color="auto"/>
      </w:pBdr>
      <w:spacing w:before="360" w:after="240"/>
      <w:jc w:val="left"/>
    </w:pPr>
    <w:rPr>
      <w:rFonts w:asciiTheme="minorHAnsi" w:hAnsiTheme="minorHAnsi"/>
      <w:b/>
      <w:bCs/>
      <w:i/>
      <w:iCs/>
      <w:sz w:val="26"/>
      <w:szCs w:val="26"/>
    </w:rPr>
  </w:style>
  <w:style w:type="character" w:styleId="Pripombasklic">
    <w:name w:val="annotation reference"/>
    <w:basedOn w:val="Privzetapisavaodstavka"/>
    <w:rsid w:val="00632ECB"/>
    <w:rPr>
      <w:sz w:val="16"/>
      <w:szCs w:val="16"/>
    </w:rPr>
  </w:style>
  <w:style w:type="paragraph" w:styleId="Pripombabesedilo">
    <w:name w:val="annotation text"/>
    <w:basedOn w:val="Navaden"/>
    <w:link w:val="PripombabesediloZnak"/>
    <w:rsid w:val="00632ECB"/>
    <w:rPr>
      <w:sz w:val="20"/>
    </w:rPr>
  </w:style>
  <w:style w:type="character" w:customStyle="1" w:styleId="PripombabesediloZnak">
    <w:name w:val="Pripomba – besedilo Znak"/>
    <w:basedOn w:val="Privzetapisavaodstavka"/>
    <w:link w:val="Pripombabesedilo"/>
    <w:rsid w:val="00632ECB"/>
    <w:rPr>
      <w:rFonts w:ascii="Arial" w:hAnsi="Arial"/>
    </w:rPr>
  </w:style>
  <w:style w:type="paragraph" w:styleId="Zadevapripombe">
    <w:name w:val="annotation subject"/>
    <w:basedOn w:val="Pripombabesedilo"/>
    <w:next w:val="Pripombabesedilo"/>
    <w:link w:val="ZadevapripombeZnak"/>
    <w:rsid w:val="00632ECB"/>
    <w:rPr>
      <w:b/>
      <w:bCs/>
    </w:rPr>
  </w:style>
  <w:style w:type="character" w:customStyle="1" w:styleId="ZadevapripombeZnak">
    <w:name w:val="Zadeva pripombe Znak"/>
    <w:basedOn w:val="PripombabesediloZnak"/>
    <w:link w:val="Zadevapripombe"/>
    <w:rsid w:val="00632EC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1093">
      <w:bodyDiv w:val="1"/>
      <w:marLeft w:val="0"/>
      <w:marRight w:val="0"/>
      <w:marTop w:val="0"/>
      <w:marBottom w:val="0"/>
      <w:divBdr>
        <w:top w:val="none" w:sz="0" w:space="0" w:color="auto"/>
        <w:left w:val="none" w:sz="0" w:space="0" w:color="auto"/>
        <w:bottom w:val="none" w:sz="0" w:space="0" w:color="auto"/>
        <w:right w:val="none" w:sz="0" w:space="0" w:color="auto"/>
      </w:divBdr>
    </w:div>
    <w:div w:id="67580388">
      <w:bodyDiv w:val="1"/>
      <w:marLeft w:val="0"/>
      <w:marRight w:val="0"/>
      <w:marTop w:val="0"/>
      <w:marBottom w:val="0"/>
      <w:divBdr>
        <w:top w:val="none" w:sz="0" w:space="0" w:color="auto"/>
        <w:left w:val="none" w:sz="0" w:space="0" w:color="auto"/>
        <w:bottom w:val="none" w:sz="0" w:space="0" w:color="auto"/>
        <w:right w:val="none" w:sz="0" w:space="0" w:color="auto"/>
      </w:divBdr>
    </w:div>
    <w:div w:id="93600385">
      <w:bodyDiv w:val="1"/>
      <w:marLeft w:val="0"/>
      <w:marRight w:val="0"/>
      <w:marTop w:val="0"/>
      <w:marBottom w:val="0"/>
      <w:divBdr>
        <w:top w:val="none" w:sz="0" w:space="0" w:color="auto"/>
        <w:left w:val="none" w:sz="0" w:space="0" w:color="auto"/>
        <w:bottom w:val="none" w:sz="0" w:space="0" w:color="auto"/>
        <w:right w:val="none" w:sz="0" w:space="0" w:color="auto"/>
      </w:divBdr>
    </w:div>
    <w:div w:id="100029827">
      <w:bodyDiv w:val="1"/>
      <w:marLeft w:val="0"/>
      <w:marRight w:val="0"/>
      <w:marTop w:val="0"/>
      <w:marBottom w:val="0"/>
      <w:divBdr>
        <w:top w:val="none" w:sz="0" w:space="0" w:color="auto"/>
        <w:left w:val="none" w:sz="0" w:space="0" w:color="auto"/>
        <w:bottom w:val="none" w:sz="0" w:space="0" w:color="auto"/>
        <w:right w:val="none" w:sz="0" w:space="0" w:color="auto"/>
      </w:divBdr>
    </w:div>
    <w:div w:id="151265134">
      <w:bodyDiv w:val="1"/>
      <w:marLeft w:val="0"/>
      <w:marRight w:val="0"/>
      <w:marTop w:val="0"/>
      <w:marBottom w:val="0"/>
      <w:divBdr>
        <w:top w:val="none" w:sz="0" w:space="0" w:color="auto"/>
        <w:left w:val="none" w:sz="0" w:space="0" w:color="auto"/>
        <w:bottom w:val="none" w:sz="0" w:space="0" w:color="auto"/>
        <w:right w:val="none" w:sz="0" w:space="0" w:color="auto"/>
      </w:divBdr>
    </w:div>
    <w:div w:id="222374026">
      <w:bodyDiv w:val="1"/>
      <w:marLeft w:val="0"/>
      <w:marRight w:val="0"/>
      <w:marTop w:val="0"/>
      <w:marBottom w:val="0"/>
      <w:divBdr>
        <w:top w:val="none" w:sz="0" w:space="0" w:color="auto"/>
        <w:left w:val="none" w:sz="0" w:space="0" w:color="auto"/>
        <w:bottom w:val="none" w:sz="0" w:space="0" w:color="auto"/>
        <w:right w:val="none" w:sz="0" w:space="0" w:color="auto"/>
      </w:divBdr>
    </w:div>
    <w:div w:id="288363567">
      <w:bodyDiv w:val="1"/>
      <w:marLeft w:val="0"/>
      <w:marRight w:val="0"/>
      <w:marTop w:val="0"/>
      <w:marBottom w:val="0"/>
      <w:divBdr>
        <w:top w:val="none" w:sz="0" w:space="0" w:color="auto"/>
        <w:left w:val="none" w:sz="0" w:space="0" w:color="auto"/>
        <w:bottom w:val="none" w:sz="0" w:space="0" w:color="auto"/>
        <w:right w:val="none" w:sz="0" w:space="0" w:color="auto"/>
      </w:divBdr>
    </w:div>
    <w:div w:id="310670054">
      <w:bodyDiv w:val="1"/>
      <w:marLeft w:val="0"/>
      <w:marRight w:val="0"/>
      <w:marTop w:val="0"/>
      <w:marBottom w:val="0"/>
      <w:divBdr>
        <w:top w:val="none" w:sz="0" w:space="0" w:color="auto"/>
        <w:left w:val="none" w:sz="0" w:space="0" w:color="auto"/>
        <w:bottom w:val="none" w:sz="0" w:space="0" w:color="auto"/>
        <w:right w:val="none" w:sz="0" w:space="0" w:color="auto"/>
      </w:divBdr>
    </w:div>
    <w:div w:id="404302096">
      <w:bodyDiv w:val="1"/>
      <w:marLeft w:val="0"/>
      <w:marRight w:val="0"/>
      <w:marTop w:val="0"/>
      <w:marBottom w:val="0"/>
      <w:divBdr>
        <w:top w:val="none" w:sz="0" w:space="0" w:color="auto"/>
        <w:left w:val="none" w:sz="0" w:space="0" w:color="auto"/>
        <w:bottom w:val="none" w:sz="0" w:space="0" w:color="auto"/>
        <w:right w:val="none" w:sz="0" w:space="0" w:color="auto"/>
      </w:divBdr>
    </w:div>
    <w:div w:id="414478596">
      <w:bodyDiv w:val="1"/>
      <w:marLeft w:val="0"/>
      <w:marRight w:val="0"/>
      <w:marTop w:val="0"/>
      <w:marBottom w:val="0"/>
      <w:divBdr>
        <w:top w:val="none" w:sz="0" w:space="0" w:color="auto"/>
        <w:left w:val="none" w:sz="0" w:space="0" w:color="auto"/>
        <w:bottom w:val="none" w:sz="0" w:space="0" w:color="auto"/>
        <w:right w:val="none" w:sz="0" w:space="0" w:color="auto"/>
      </w:divBdr>
    </w:div>
    <w:div w:id="459300883">
      <w:bodyDiv w:val="1"/>
      <w:marLeft w:val="0"/>
      <w:marRight w:val="0"/>
      <w:marTop w:val="0"/>
      <w:marBottom w:val="0"/>
      <w:divBdr>
        <w:top w:val="none" w:sz="0" w:space="0" w:color="auto"/>
        <w:left w:val="none" w:sz="0" w:space="0" w:color="auto"/>
        <w:bottom w:val="none" w:sz="0" w:space="0" w:color="auto"/>
        <w:right w:val="none" w:sz="0" w:space="0" w:color="auto"/>
      </w:divBdr>
    </w:div>
    <w:div w:id="533814078">
      <w:bodyDiv w:val="1"/>
      <w:marLeft w:val="0"/>
      <w:marRight w:val="0"/>
      <w:marTop w:val="0"/>
      <w:marBottom w:val="0"/>
      <w:divBdr>
        <w:top w:val="none" w:sz="0" w:space="0" w:color="auto"/>
        <w:left w:val="none" w:sz="0" w:space="0" w:color="auto"/>
        <w:bottom w:val="none" w:sz="0" w:space="0" w:color="auto"/>
        <w:right w:val="none" w:sz="0" w:space="0" w:color="auto"/>
      </w:divBdr>
    </w:div>
    <w:div w:id="554893927">
      <w:bodyDiv w:val="1"/>
      <w:marLeft w:val="0"/>
      <w:marRight w:val="0"/>
      <w:marTop w:val="0"/>
      <w:marBottom w:val="0"/>
      <w:divBdr>
        <w:top w:val="none" w:sz="0" w:space="0" w:color="auto"/>
        <w:left w:val="none" w:sz="0" w:space="0" w:color="auto"/>
        <w:bottom w:val="none" w:sz="0" w:space="0" w:color="auto"/>
        <w:right w:val="none" w:sz="0" w:space="0" w:color="auto"/>
      </w:divBdr>
    </w:div>
    <w:div w:id="614676018">
      <w:bodyDiv w:val="1"/>
      <w:marLeft w:val="0"/>
      <w:marRight w:val="0"/>
      <w:marTop w:val="0"/>
      <w:marBottom w:val="0"/>
      <w:divBdr>
        <w:top w:val="none" w:sz="0" w:space="0" w:color="auto"/>
        <w:left w:val="none" w:sz="0" w:space="0" w:color="auto"/>
        <w:bottom w:val="none" w:sz="0" w:space="0" w:color="auto"/>
        <w:right w:val="none" w:sz="0" w:space="0" w:color="auto"/>
      </w:divBdr>
    </w:div>
    <w:div w:id="691034620">
      <w:bodyDiv w:val="1"/>
      <w:marLeft w:val="0"/>
      <w:marRight w:val="0"/>
      <w:marTop w:val="0"/>
      <w:marBottom w:val="0"/>
      <w:divBdr>
        <w:top w:val="none" w:sz="0" w:space="0" w:color="auto"/>
        <w:left w:val="none" w:sz="0" w:space="0" w:color="auto"/>
        <w:bottom w:val="none" w:sz="0" w:space="0" w:color="auto"/>
        <w:right w:val="none" w:sz="0" w:space="0" w:color="auto"/>
      </w:divBdr>
    </w:div>
    <w:div w:id="719591868">
      <w:bodyDiv w:val="1"/>
      <w:marLeft w:val="0"/>
      <w:marRight w:val="0"/>
      <w:marTop w:val="0"/>
      <w:marBottom w:val="0"/>
      <w:divBdr>
        <w:top w:val="none" w:sz="0" w:space="0" w:color="auto"/>
        <w:left w:val="none" w:sz="0" w:space="0" w:color="auto"/>
        <w:bottom w:val="none" w:sz="0" w:space="0" w:color="auto"/>
        <w:right w:val="none" w:sz="0" w:space="0" w:color="auto"/>
      </w:divBdr>
    </w:div>
    <w:div w:id="722406513">
      <w:bodyDiv w:val="1"/>
      <w:marLeft w:val="0"/>
      <w:marRight w:val="0"/>
      <w:marTop w:val="0"/>
      <w:marBottom w:val="0"/>
      <w:divBdr>
        <w:top w:val="none" w:sz="0" w:space="0" w:color="auto"/>
        <w:left w:val="none" w:sz="0" w:space="0" w:color="auto"/>
        <w:bottom w:val="none" w:sz="0" w:space="0" w:color="auto"/>
        <w:right w:val="none" w:sz="0" w:space="0" w:color="auto"/>
      </w:divBdr>
    </w:div>
    <w:div w:id="726488424">
      <w:bodyDiv w:val="1"/>
      <w:marLeft w:val="0"/>
      <w:marRight w:val="0"/>
      <w:marTop w:val="0"/>
      <w:marBottom w:val="0"/>
      <w:divBdr>
        <w:top w:val="none" w:sz="0" w:space="0" w:color="auto"/>
        <w:left w:val="none" w:sz="0" w:space="0" w:color="auto"/>
        <w:bottom w:val="none" w:sz="0" w:space="0" w:color="auto"/>
        <w:right w:val="none" w:sz="0" w:space="0" w:color="auto"/>
      </w:divBdr>
    </w:div>
    <w:div w:id="730689175">
      <w:bodyDiv w:val="1"/>
      <w:marLeft w:val="0"/>
      <w:marRight w:val="0"/>
      <w:marTop w:val="0"/>
      <w:marBottom w:val="0"/>
      <w:divBdr>
        <w:top w:val="none" w:sz="0" w:space="0" w:color="auto"/>
        <w:left w:val="none" w:sz="0" w:space="0" w:color="auto"/>
        <w:bottom w:val="none" w:sz="0" w:space="0" w:color="auto"/>
        <w:right w:val="none" w:sz="0" w:space="0" w:color="auto"/>
      </w:divBdr>
    </w:div>
    <w:div w:id="974028071">
      <w:bodyDiv w:val="1"/>
      <w:marLeft w:val="0"/>
      <w:marRight w:val="0"/>
      <w:marTop w:val="0"/>
      <w:marBottom w:val="0"/>
      <w:divBdr>
        <w:top w:val="none" w:sz="0" w:space="0" w:color="auto"/>
        <w:left w:val="none" w:sz="0" w:space="0" w:color="auto"/>
        <w:bottom w:val="none" w:sz="0" w:space="0" w:color="auto"/>
        <w:right w:val="none" w:sz="0" w:space="0" w:color="auto"/>
      </w:divBdr>
    </w:div>
    <w:div w:id="1024018404">
      <w:bodyDiv w:val="1"/>
      <w:marLeft w:val="0"/>
      <w:marRight w:val="0"/>
      <w:marTop w:val="0"/>
      <w:marBottom w:val="0"/>
      <w:divBdr>
        <w:top w:val="none" w:sz="0" w:space="0" w:color="auto"/>
        <w:left w:val="none" w:sz="0" w:space="0" w:color="auto"/>
        <w:bottom w:val="none" w:sz="0" w:space="0" w:color="auto"/>
        <w:right w:val="none" w:sz="0" w:space="0" w:color="auto"/>
      </w:divBdr>
    </w:div>
    <w:div w:id="1170950198">
      <w:bodyDiv w:val="1"/>
      <w:marLeft w:val="0"/>
      <w:marRight w:val="0"/>
      <w:marTop w:val="0"/>
      <w:marBottom w:val="0"/>
      <w:divBdr>
        <w:top w:val="none" w:sz="0" w:space="0" w:color="auto"/>
        <w:left w:val="none" w:sz="0" w:space="0" w:color="auto"/>
        <w:bottom w:val="none" w:sz="0" w:space="0" w:color="auto"/>
        <w:right w:val="none" w:sz="0" w:space="0" w:color="auto"/>
      </w:divBdr>
    </w:div>
    <w:div w:id="1249968497">
      <w:bodyDiv w:val="1"/>
      <w:marLeft w:val="0"/>
      <w:marRight w:val="0"/>
      <w:marTop w:val="0"/>
      <w:marBottom w:val="0"/>
      <w:divBdr>
        <w:top w:val="none" w:sz="0" w:space="0" w:color="auto"/>
        <w:left w:val="none" w:sz="0" w:space="0" w:color="auto"/>
        <w:bottom w:val="none" w:sz="0" w:space="0" w:color="auto"/>
        <w:right w:val="none" w:sz="0" w:space="0" w:color="auto"/>
      </w:divBdr>
    </w:div>
    <w:div w:id="1255046229">
      <w:bodyDiv w:val="1"/>
      <w:marLeft w:val="0"/>
      <w:marRight w:val="0"/>
      <w:marTop w:val="0"/>
      <w:marBottom w:val="0"/>
      <w:divBdr>
        <w:top w:val="none" w:sz="0" w:space="0" w:color="auto"/>
        <w:left w:val="none" w:sz="0" w:space="0" w:color="auto"/>
        <w:bottom w:val="none" w:sz="0" w:space="0" w:color="auto"/>
        <w:right w:val="none" w:sz="0" w:space="0" w:color="auto"/>
      </w:divBdr>
    </w:div>
    <w:div w:id="1304382655">
      <w:bodyDiv w:val="1"/>
      <w:marLeft w:val="0"/>
      <w:marRight w:val="0"/>
      <w:marTop w:val="0"/>
      <w:marBottom w:val="0"/>
      <w:divBdr>
        <w:top w:val="none" w:sz="0" w:space="0" w:color="auto"/>
        <w:left w:val="none" w:sz="0" w:space="0" w:color="auto"/>
        <w:bottom w:val="none" w:sz="0" w:space="0" w:color="auto"/>
        <w:right w:val="none" w:sz="0" w:space="0" w:color="auto"/>
      </w:divBdr>
    </w:div>
    <w:div w:id="1309243620">
      <w:bodyDiv w:val="1"/>
      <w:marLeft w:val="0"/>
      <w:marRight w:val="0"/>
      <w:marTop w:val="0"/>
      <w:marBottom w:val="0"/>
      <w:divBdr>
        <w:top w:val="none" w:sz="0" w:space="0" w:color="auto"/>
        <w:left w:val="none" w:sz="0" w:space="0" w:color="auto"/>
        <w:bottom w:val="none" w:sz="0" w:space="0" w:color="auto"/>
        <w:right w:val="none" w:sz="0" w:space="0" w:color="auto"/>
      </w:divBdr>
    </w:div>
    <w:div w:id="1430586886">
      <w:bodyDiv w:val="1"/>
      <w:marLeft w:val="0"/>
      <w:marRight w:val="0"/>
      <w:marTop w:val="0"/>
      <w:marBottom w:val="0"/>
      <w:divBdr>
        <w:top w:val="none" w:sz="0" w:space="0" w:color="auto"/>
        <w:left w:val="none" w:sz="0" w:space="0" w:color="auto"/>
        <w:bottom w:val="none" w:sz="0" w:space="0" w:color="auto"/>
        <w:right w:val="none" w:sz="0" w:space="0" w:color="auto"/>
      </w:divBdr>
    </w:div>
    <w:div w:id="1470057017">
      <w:bodyDiv w:val="1"/>
      <w:marLeft w:val="0"/>
      <w:marRight w:val="0"/>
      <w:marTop w:val="0"/>
      <w:marBottom w:val="0"/>
      <w:divBdr>
        <w:top w:val="none" w:sz="0" w:space="0" w:color="auto"/>
        <w:left w:val="none" w:sz="0" w:space="0" w:color="auto"/>
        <w:bottom w:val="none" w:sz="0" w:space="0" w:color="auto"/>
        <w:right w:val="none" w:sz="0" w:space="0" w:color="auto"/>
      </w:divBdr>
    </w:div>
    <w:div w:id="1472405868">
      <w:bodyDiv w:val="1"/>
      <w:marLeft w:val="0"/>
      <w:marRight w:val="0"/>
      <w:marTop w:val="0"/>
      <w:marBottom w:val="0"/>
      <w:divBdr>
        <w:top w:val="none" w:sz="0" w:space="0" w:color="auto"/>
        <w:left w:val="none" w:sz="0" w:space="0" w:color="auto"/>
        <w:bottom w:val="none" w:sz="0" w:space="0" w:color="auto"/>
        <w:right w:val="none" w:sz="0" w:space="0" w:color="auto"/>
      </w:divBdr>
    </w:div>
    <w:div w:id="1526333568">
      <w:bodyDiv w:val="1"/>
      <w:marLeft w:val="0"/>
      <w:marRight w:val="0"/>
      <w:marTop w:val="0"/>
      <w:marBottom w:val="0"/>
      <w:divBdr>
        <w:top w:val="none" w:sz="0" w:space="0" w:color="auto"/>
        <w:left w:val="none" w:sz="0" w:space="0" w:color="auto"/>
        <w:bottom w:val="none" w:sz="0" w:space="0" w:color="auto"/>
        <w:right w:val="none" w:sz="0" w:space="0" w:color="auto"/>
      </w:divBdr>
    </w:div>
    <w:div w:id="1670019299">
      <w:bodyDiv w:val="1"/>
      <w:marLeft w:val="0"/>
      <w:marRight w:val="0"/>
      <w:marTop w:val="0"/>
      <w:marBottom w:val="0"/>
      <w:divBdr>
        <w:top w:val="none" w:sz="0" w:space="0" w:color="auto"/>
        <w:left w:val="none" w:sz="0" w:space="0" w:color="auto"/>
        <w:bottom w:val="none" w:sz="0" w:space="0" w:color="auto"/>
        <w:right w:val="none" w:sz="0" w:space="0" w:color="auto"/>
      </w:divBdr>
    </w:div>
    <w:div w:id="1674917961">
      <w:bodyDiv w:val="1"/>
      <w:marLeft w:val="0"/>
      <w:marRight w:val="0"/>
      <w:marTop w:val="0"/>
      <w:marBottom w:val="0"/>
      <w:divBdr>
        <w:top w:val="none" w:sz="0" w:space="0" w:color="auto"/>
        <w:left w:val="none" w:sz="0" w:space="0" w:color="auto"/>
        <w:bottom w:val="none" w:sz="0" w:space="0" w:color="auto"/>
        <w:right w:val="none" w:sz="0" w:space="0" w:color="auto"/>
      </w:divBdr>
    </w:div>
    <w:div w:id="1761563566">
      <w:bodyDiv w:val="1"/>
      <w:marLeft w:val="0"/>
      <w:marRight w:val="0"/>
      <w:marTop w:val="0"/>
      <w:marBottom w:val="0"/>
      <w:divBdr>
        <w:top w:val="none" w:sz="0" w:space="0" w:color="auto"/>
        <w:left w:val="none" w:sz="0" w:space="0" w:color="auto"/>
        <w:bottom w:val="none" w:sz="0" w:space="0" w:color="auto"/>
        <w:right w:val="none" w:sz="0" w:space="0" w:color="auto"/>
      </w:divBdr>
    </w:div>
    <w:div w:id="1843229804">
      <w:bodyDiv w:val="1"/>
      <w:marLeft w:val="0"/>
      <w:marRight w:val="0"/>
      <w:marTop w:val="0"/>
      <w:marBottom w:val="0"/>
      <w:divBdr>
        <w:top w:val="none" w:sz="0" w:space="0" w:color="auto"/>
        <w:left w:val="none" w:sz="0" w:space="0" w:color="auto"/>
        <w:bottom w:val="none" w:sz="0" w:space="0" w:color="auto"/>
        <w:right w:val="none" w:sz="0" w:space="0" w:color="auto"/>
      </w:divBdr>
    </w:div>
    <w:div w:id="1881018015">
      <w:bodyDiv w:val="1"/>
      <w:marLeft w:val="0"/>
      <w:marRight w:val="0"/>
      <w:marTop w:val="0"/>
      <w:marBottom w:val="0"/>
      <w:divBdr>
        <w:top w:val="none" w:sz="0" w:space="0" w:color="auto"/>
        <w:left w:val="none" w:sz="0" w:space="0" w:color="auto"/>
        <w:bottom w:val="none" w:sz="0" w:space="0" w:color="auto"/>
        <w:right w:val="none" w:sz="0" w:space="0" w:color="auto"/>
      </w:divBdr>
    </w:div>
    <w:div w:id="1940940941">
      <w:bodyDiv w:val="1"/>
      <w:marLeft w:val="0"/>
      <w:marRight w:val="0"/>
      <w:marTop w:val="0"/>
      <w:marBottom w:val="0"/>
      <w:divBdr>
        <w:top w:val="none" w:sz="0" w:space="0" w:color="auto"/>
        <w:left w:val="none" w:sz="0" w:space="0" w:color="auto"/>
        <w:bottom w:val="none" w:sz="0" w:space="0" w:color="auto"/>
        <w:right w:val="none" w:sz="0" w:space="0" w:color="auto"/>
      </w:divBdr>
    </w:div>
    <w:div w:id="2029601976">
      <w:bodyDiv w:val="1"/>
      <w:marLeft w:val="0"/>
      <w:marRight w:val="0"/>
      <w:marTop w:val="0"/>
      <w:marBottom w:val="0"/>
      <w:divBdr>
        <w:top w:val="none" w:sz="0" w:space="0" w:color="auto"/>
        <w:left w:val="none" w:sz="0" w:space="0" w:color="auto"/>
        <w:bottom w:val="none" w:sz="0" w:space="0" w:color="auto"/>
        <w:right w:val="none" w:sz="0" w:space="0" w:color="auto"/>
      </w:divBdr>
    </w:div>
    <w:div w:id="2063478906">
      <w:bodyDiv w:val="1"/>
      <w:marLeft w:val="0"/>
      <w:marRight w:val="0"/>
      <w:marTop w:val="0"/>
      <w:marBottom w:val="0"/>
      <w:divBdr>
        <w:top w:val="none" w:sz="0" w:space="0" w:color="auto"/>
        <w:left w:val="none" w:sz="0" w:space="0" w:color="auto"/>
        <w:bottom w:val="none" w:sz="0" w:space="0" w:color="auto"/>
        <w:right w:val="none" w:sz="0" w:space="0" w:color="auto"/>
      </w:divBdr>
    </w:div>
    <w:div w:id="2067411407">
      <w:bodyDiv w:val="1"/>
      <w:marLeft w:val="0"/>
      <w:marRight w:val="0"/>
      <w:marTop w:val="0"/>
      <w:marBottom w:val="0"/>
      <w:divBdr>
        <w:top w:val="none" w:sz="0" w:space="0" w:color="auto"/>
        <w:left w:val="none" w:sz="0" w:space="0" w:color="auto"/>
        <w:bottom w:val="none" w:sz="0" w:space="0" w:color="auto"/>
        <w:right w:val="none" w:sz="0" w:space="0" w:color="auto"/>
      </w:divBdr>
    </w:div>
    <w:div w:id="21066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is.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F170-0A28-4007-8E26-2369E2B8B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16</Pages>
  <Words>5223</Words>
  <Characters>29775</Characters>
  <Application>Microsoft Office Word</Application>
  <DocSecurity>0</DocSecurity>
  <Lines>248</Lines>
  <Paragraphs>69</Paragraphs>
  <ScaleCrop>false</ScaleCrop>
  <HeadingPairs>
    <vt:vector size="2" baseType="variant">
      <vt:variant>
        <vt:lpstr>Naslov</vt:lpstr>
      </vt:variant>
      <vt:variant>
        <vt:i4>1</vt:i4>
      </vt:variant>
    </vt:vector>
  </HeadingPairs>
  <TitlesOfParts>
    <vt:vector size="1" baseType="lpstr">
      <vt:lpstr/>
    </vt:vector>
  </TitlesOfParts>
  <Company>KIS</Company>
  <LinksUpToDate>false</LinksUpToDate>
  <CharactersWithSpaces>34929</CharactersWithSpaces>
  <SharedDoc>false</SharedDoc>
  <HLinks>
    <vt:vector size="6" baseType="variant">
      <vt:variant>
        <vt:i4>5046374</vt:i4>
      </vt:variant>
      <vt:variant>
        <vt:i4>0</vt:i4>
      </vt:variant>
      <vt:variant>
        <vt:i4>0</vt:i4>
      </vt:variant>
      <vt:variant>
        <vt:i4>5</vt:i4>
      </vt:variant>
      <vt:variant>
        <vt:lpwstr>mailto:KIS@KIS-H2.SI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Moljk</dc:creator>
  <cp:lastModifiedBy>Barbara Zagorc</cp:lastModifiedBy>
  <cp:revision>27</cp:revision>
  <cp:lastPrinted>2016-02-29T15:20:00Z</cp:lastPrinted>
  <dcterms:created xsi:type="dcterms:W3CDTF">2017-02-23T07:32:00Z</dcterms:created>
  <dcterms:modified xsi:type="dcterms:W3CDTF">2017-11-29T07:30:00Z</dcterms:modified>
</cp:coreProperties>
</file>