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732"/>
      </w:tblGrid>
      <w:tr w:rsidR="00400887" w:rsidRPr="00570532" w14:paraId="7D2F85C3" w14:textId="77777777">
        <w:tc>
          <w:tcPr>
            <w:tcW w:w="1843" w:type="dxa"/>
          </w:tcPr>
          <w:p w14:paraId="31CA0ACE" w14:textId="460F3413" w:rsidR="00400887" w:rsidRDefault="00874AA0" w:rsidP="00F05C00">
            <w:pPr>
              <w:tabs>
                <w:tab w:val="left" w:pos="9356"/>
              </w:tabs>
              <w:spacing w:before="24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color w:val="4F81BD" w:themeColor="accent1"/>
                <w:szCs w:val="24"/>
              </w:rPr>
              <w:drawing>
                <wp:inline distT="0" distB="0" distL="0" distR="0" wp14:anchorId="62EB1F50" wp14:editId="1FB55DB9">
                  <wp:extent cx="605913" cy="1295400"/>
                  <wp:effectExtent l="0" t="0" r="3810" b="0"/>
                  <wp:docPr id="2" name="Slika 2" descr="K:\LOGOTIPI\LOGO_SLO_OSNOVNI\KIS_logotip_SLO_navpicni_barvni_PAN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LOGOTIPI\LOGO_SLO_OSNOVNI\KIS_logotip_SLO_navpicni_barvni_PAN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13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396EA" w14:textId="6CD490F5" w:rsidR="00765747" w:rsidRPr="00570532" w:rsidRDefault="00765747" w:rsidP="00765747">
            <w:pPr>
              <w:tabs>
                <w:tab w:val="left" w:pos="9356"/>
              </w:tabs>
              <w:spacing w:before="24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732" w:type="dxa"/>
          </w:tcPr>
          <w:p w14:paraId="5C119C19" w14:textId="460A9F34" w:rsidR="00400887" w:rsidRPr="00570532" w:rsidRDefault="00400887" w:rsidP="00765747">
            <w:pPr>
              <w:pStyle w:val="Naslov1"/>
              <w:ind w:firstLine="68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570532">
              <w:rPr>
                <w:rFonts w:asciiTheme="minorHAnsi" w:hAnsiTheme="minorHAnsi" w:cs="Arial"/>
                <w:b w:val="0"/>
                <w:sz w:val="24"/>
                <w:szCs w:val="24"/>
              </w:rPr>
              <w:t>Kmetijski  inštitut  Slovenije</w:t>
            </w:r>
          </w:p>
          <w:p w14:paraId="2A9E461F" w14:textId="77777777" w:rsidR="00400887" w:rsidRPr="00570532" w:rsidRDefault="00400887" w:rsidP="00765747">
            <w:pPr>
              <w:tabs>
                <w:tab w:val="left" w:pos="9356"/>
              </w:tabs>
              <w:ind w:firstLine="68"/>
              <w:rPr>
                <w:rFonts w:asciiTheme="minorHAnsi" w:hAnsiTheme="minorHAnsi" w:cs="Arial"/>
                <w:sz w:val="24"/>
                <w:szCs w:val="24"/>
              </w:rPr>
            </w:pPr>
            <w:r w:rsidRPr="00570532">
              <w:rPr>
                <w:rFonts w:asciiTheme="minorHAnsi" w:hAnsiTheme="minorHAnsi" w:cs="Arial"/>
                <w:sz w:val="24"/>
                <w:szCs w:val="24"/>
              </w:rPr>
              <w:t>Oddelek  za  ekonomiko  kmetijstva</w:t>
            </w:r>
          </w:p>
          <w:p w14:paraId="14F4E157" w14:textId="45BB58B6" w:rsidR="00400887" w:rsidRDefault="00400887" w:rsidP="00765747">
            <w:pPr>
              <w:tabs>
                <w:tab w:val="left" w:pos="9356"/>
              </w:tabs>
              <w:ind w:firstLine="68"/>
              <w:rPr>
                <w:rFonts w:asciiTheme="minorHAnsi" w:hAnsiTheme="minorHAnsi" w:cs="Arial"/>
                <w:sz w:val="24"/>
                <w:szCs w:val="24"/>
              </w:rPr>
            </w:pPr>
            <w:r w:rsidRPr="00570532">
              <w:rPr>
                <w:rFonts w:asciiTheme="minorHAnsi" w:hAnsiTheme="minorHAnsi" w:cs="Arial"/>
                <w:sz w:val="24"/>
                <w:szCs w:val="24"/>
              </w:rPr>
              <w:t xml:space="preserve">Hacquetova </w:t>
            </w:r>
            <w:r w:rsidR="00765747">
              <w:rPr>
                <w:rFonts w:asciiTheme="minorHAnsi" w:hAnsiTheme="minorHAnsi" w:cs="Arial"/>
                <w:sz w:val="24"/>
                <w:szCs w:val="24"/>
              </w:rPr>
              <w:t xml:space="preserve">ulica </w:t>
            </w:r>
            <w:r w:rsidRPr="00570532">
              <w:rPr>
                <w:rFonts w:asciiTheme="minorHAnsi" w:hAnsiTheme="minorHAnsi" w:cs="Arial"/>
                <w:sz w:val="24"/>
                <w:szCs w:val="24"/>
              </w:rPr>
              <w:t xml:space="preserve">17, </w:t>
            </w:r>
            <w:r w:rsidR="00504281" w:rsidRPr="00570532">
              <w:rPr>
                <w:rFonts w:asciiTheme="minorHAnsi" w:hAnsiTheme="minorHAnsi" w:cs="Arial"/>
                <w:sz w:val="24"/>
                <w:szCs w:val="24"/>
              </w:rPr>
              <w:t>1000 Ljubljana</w:t>
            </w:r>
            <w:r w:rsidR="00504281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765747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="00765747" w:rsidRPr="00570532">
              <w:rPr>
                <w:rFonts w:asciiTheme="minorHAnsi" w:hAnsiTheme="minorHAnsi" w:cs="Arial"/>
                <w:sz w:val="24"/>
                <w:szCs w:val="24"/>
              </w:rPr>
              <w:t>lovenija</w:t>
            </w:r>
          </w:p>
          <w:p w14:paraId="6112E6FE" w14:textId="77777777" w:rsidR="00765747" w:rsidRPr="00570532" w:rsidRDefault="00765747" w:rsidP="00765747">
            <w:pPr>
              <w:tabs>
                <w:tab w:val="left" w:pos="9356"/>
              </w:tabs>
              <w:ind w:firstLine="68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175846D" w14:textId="73175C74" w:rsidR="00400887" w:rsidRPr="00570532" w:rsidRDefault="00400887" w:rsidP="00765747">
            <w:pPr>
              <w:tabs>
                <w:tab w:val="left" w:pos="9356"/>
              </w:tabs>
              <w:ind w:firstLine="68"/>
              <w:rPr>
                <w:rFonts w:asciiTheme="minorHAnsi" w:hAnsiTheme="minorHAnsi" w:cs="Arial"/>
                <w:sz w:val="24"/>
                <w:szCs w:val="24"/>
              </w:rPr>
            </w:pPr>
            <w:r w:rsidRPr="00570532">
              <w:rPr>
                <w:rFonts w:asciiTheme="minorHAnsi" w:hAnsiTheme="minorHAnsi" w:cs="Arial"/>
                <w:sz w:val="24"/>
                <w:szCs w:val="24"/>
              </w:rPr>
              <w:t>Tel.</w:t>
            </w:r>
            <w:r w:rsidR="00765747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Pr="00570532">
              <w:rPr>
                <w:rFonts w:asciiTheme="minorHAnsi" w:hAnsiTheme="minorHAnsi" w:cs="Arial"/>
                <w:sz w:val="24"/>
                <w:szCs w:val="24"/>
              </w:rPr>
              <w:t xml:space="preserve"> +386 1 / 280  52  62</w:t>
            </w:r>
          </w:p>
          <w:p w14:paraId="6465F774" w14:textId="099E792C" w:rsidR="00400887" w:rsidRPr="00570532" w:rsidRDefault="00765747" w:rsidP="00765747">
            <w:pPr>
              <w:tabs>
                <w:tab w:val="left" w:pos="9356"/>
              </w:tabs>
              <w:ind w:firstLine="68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Fax.:</w:t>
            </w:r>
            <w:r w:rsidR="00400887" w:rsidRPr="00570532">
              <w:rPr>
                <w:rFonts w:asciiTheme="minorHAnsi" w:hAnsiTheme="minorHAnsi" w:cs="Arial"/>
                <w:sz w:val="24"/>
                <w:szCs w:val="24"/>
              </w:rPr>
              <w:t xml:space="preserve"> +386 1 / 280  52  55</w:t>
            </w:r>
          </w:p>
          <w:p w14:paraId="574B41FE" w14:textId="2756D738" w:rsidR="00400887" w:rsidRPr="00570532" w:rsidRDefault="00570532" w:rsidP="00765747">
            <w:pPr>
              <w:tabs>
                <w:tab w:val="left" w:pos="1701"/>
              </w:tabs>
              <w:ind w:firstLine="68"/>
              <w:rPr>
                <w:rFonts w:asciiTheme="minorHAnsi" w:hAnsiTheme="minorHAnsi" w:cs="Arial"/>
                <w:sz w:val="24"/>
                <w:szCs w:val="24"/>
              </w:rPr>
            </w:pPr>
            <w:r w:rsidRPr="00570532">
              <w:rPr>
                <w:rFonts w:asciiTheme="minorHAnsi" w:hAnsiTheme="minorHAnsi" w:cs="Arial"/>
                <w:sz w:val="24"/>
                <w:szCs w:val="24"/>
              </w:rPr>
              <w:t>E-mail: info@kis.si</w:t>
            </w:r>
          </w:p>
        </w:tc>
      </w:tr>
    </w:tbl>
    <w:p w14:paraId="232B7789" w14:textId="3ECBD5A7" w:rsidR="008A5CAF" w:rsidRPr="00570532" w:rsidRDefault="008A5CAF" w:rsidP="00096244">
      <w:pPr>
        <w:pStyle w:val="Telobesedila2"/>
        <w:rPr>
          <w:rFonts w:asciiTheme="minorHAnsi" w:hAnsiTheme="minorHAnsi" w:cs="Arial"/>
          <w:color w:val="4F81BD" w:themeColor="accent1"/>
          <w:szCs w:val="24"/>
        </w:rPr>
      </w:pPr>
    </w:p>
    <w:p w14:paraId="5595999C" w14:textId="77777777" w:rsidR="00400887" w:rsidRPr="00570532" w:rsidRDefault="00400887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6732E384" w14:textId="77777777" w:rsidR="002E26EF" w:rsidRPr="00570532" w:rsidRDefault="002E26EF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264F23BC" w14:textId="5076B8C5" w:rsidR="002E26EF" w:rsidRDefault="002E26EF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759B432B" w14:textId="77777777" w:rsidR="00483607" w:rsidRPr="00570532" w:rsidRDefault="00483607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451AA289" w14:textId="77777777" w:rsidR="00400887" w:rsidRPr="00570532" w:rsidRDefault="00400887" w:rsidP="00400887">
      <w:pPr>
        <w:jc w:val="center"/>
        <w:rPr>
          <w:rFonts w:asciiTheme="minorHAnsi" w:hAnsiTheme="minorHAnsi" w:cs="Arial"/>
          <w:b/>
          <w:color w:val="4F81BD" w:themeColor="accent1"/>
          <w:sz w:val="24"/>
          <w:szCs w:val="24"/>
        </w:rPr>
      </w:pPr>
    </w:p>
    <w:p w14:paraId="29DA474D" w14:textId="77777777" w:rsidR="00400887" w:rsidRPr="00016DE2" w:rsidRDefault="00400887" w:rsidP="004008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16DE2">
        <w:rPr>
          <w:rFonts w:asciiTheme="minorHAnsi" w:hAnsiTheme="minorHAnsi" w:cs="Arial"/>
          <w:b/>
          <w:sz w:val="28"/>
          <w:szCs w:val="28"/>
        </w:rPr>
        <w:t xml:space="preserve">POROČILO </w:t>
      </w:r>
    </w:p>
    <w:p w14:paraId="087C0D4E" w14:textId="022CBE5C" w:rsidR="00501E57" w:rsidRPr="00016DE2" w:rsidRDefault="00501E57" w:rsidP="00501E5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016DE2">
        <w:rPr>
          <w:rFonts w:asciiTheme="minorHAnsi" w:hAnsiTheme="minorHAnsi" w:cs="Arial"/>
          <w:b/>
          <w:sz w:val="28"/>
          <w:szCs w:val="28"/>
        </w:rPr>
        <w:t xml:space="preserve">o izračunu </w:t>
      </w:r>
      <w:r w:rsidR="005226D2">
        <w:rPr>
          <w:rFonts w:asciiTheme="minorHAnsi" w:hAnsiTheme="minorHAnsi" w:cs="Arial"/>
          <w:b/>
          <w:sz w:val="28"/>
          <w:szCs w:val="28"/>
        </w:rPr>
        <w:t xml:space="preserve">koeficientov </w:t>
      </w:r>
      <w:r w:rsidRPr="00016DE2">
        <w:rPr>
          <w:rFonts w:asciiTheme="minorHAnsi" w:hAnsiTheme="minorHAnsi" w:cs="Arial"/>
          <w:b/>
          <w:sz w:val="28"/>
          <w:szCs w:val="28"/>
        </w:rPr>
        <w:t>standardnega pri</w:t>
      </w:r>
      <w:r w:rsidR="00570532" w:rsidRPr="00016DE2">
        <w:rPr>
          <w:rFonts w:asciiTheme="minorHAnsi" w:hAnsiTheme="minorHAnsi" w:cs="Arial"/>
          <w:b/>
          <w:sz w:val="28"/>
          <w:szCs w:val="28"/>
        </w:rPr>
        <w:t xml:space="preserve">hodka v referenčnem obdobju </w:t>
      </w:r>
      <w:r w:rsidR="005226D2">
        <w:rPr>
          <w:rFonts w:asciiTheme="minorHAnsi" w:hAnsiTheme="minorHAnsi" w:cs="Arial"/>
          <w:b/>
          <w:sz w:val="28"/>
          <w:szCs w:val="28"/>
        </w:rPr>
        <w:t>2020 (</w:t>
      </w:r>
      <w:r w:rsidRPr="00016DE2">
        <w:rPr>
          <w:rFonts w:asciiTheme="minorHAnsi" w:hAnsiTheme="minorHAnsi" w:cs="Arial"/>
          <w:b/>
          <w:sz w:val="28"/>
          <w:szCs w:val="28"/>
        </w:rPr>
        <w:t>SO</w:t>
      </w:r>
      <w:r w:rsidR="00F06C50">
        <w:rPr>
          <w:rFonts w:asciiTheme="minorHAnsi" w:hAnsiTheme="minorHAnsi" w:cs="Arial"/>
          <w:b/>
          <w:sz w:val="28"/>
          <w:szCs w:val="28"/>
        </w:rPr>
        <w:t>C</w:t>
      </w:r>
      <w:r w:rsidR="005226D2">
        <w:rPr>
          <w:rFonts w:asciiTheme="minorHAnsi" w:hAnsiTheme="minorHAnsi" w:cs="Arial"/>
          <w:b/>
          <w:sz w:val="28"/>
          <w:szCs w:val="28"/>
        </w:rPr>
        <w:t xml:space="preserve"> </w:t>
      </w:r>
      <w:r w:rsidRPr="00016DE2">
        <w:rPr>
          <w:rFonts w:asciiTheme="minorHAnsi" w:hAnsiTheme="minorHAnsi" w:cs="Arial"/>
          <w:b/>
          <w:sz w:val="28"/>
          <w:szCs w:val="28"/>
        </w:rPr>
        <w:t>201</w:t>
      </w:r>
      <w:r w:rsidR="00016DE2" w:rsidRPr="00016DE2">
        <w:rPr>
          <w:rFonts w:asciiTheme="minorHAnsi" w:hAnsiTheme="minorHAnsi" w:cs="Arial"/>
          <w:b/>
          <w:sz w:val="28"/>
          <w:szCs w:val="28"/>
        </w:rPr>
        <w:t>7</w:t>
      </w:r>
      <w:r w:rsidR="005226D2">
        <w:rPr>
          <w:rFonts w:asciiTheme="minorHAnsi" w:hAnsiTheme="minorHAnsi" w:cs="Arial"/>
          <w:b/>
          <w:sz w:val="28"/>
          <w:szCs w:val="28"/>
        </w:rPr>
        <w:t>)</w:t>
      </w:r>
    </w:p>
    <w:p w14:paraId="1A172548" w14:textId="77777777" w:rsidR="00400887" w:rsidRPr="00570532" w:rsidRDefault="00400887" w:rsidP="00400887">
      <w:pPr>
        <w:jc w:val="center"/>
        <w:rPr>
          <w:rFonts w:asciiTheme="minorHAnsi" w:hAnsiTheme="minorHAnsi" w:cs="Arial"/>
          <w:b/>
          <w:color w:val="4F81BD" w:themeColor="accent1"/>
          <w:sz w:val="24"/>
          <w:szCs w:val="24"/>
        </w:rPr>
      </w:pPr>
    </w:p>
    <w:p w14:paraId="04FDFAA0" w14:textId="77777777" w:rsidR="00400887" w:rsidRPr="00570532" w:rsidRDefault="00400887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1E8479D5" w14:textId="77777777" w:rsidR="00400887" w:rsidRPr="00570532" w:rsidRDefault="00400887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5B42B293" w14:textId="77777777" w:rsidR="00400887" w:rsidRPr="00F06C50" w:rsidRDefault="00455732" w:rsidP="00400887">
      <w:pPr>
        <w:jc w:val="center"/>
        <w:rPr>
          <w:rFonts w:asciiTheme="minorHAnsi" w:hAnsiTheme="minorHAnsi" w:cs="Arial"/>
          <w:sz w:val="24"/>
          <w:szCs w:val="24"/>
        </w:rPr>
      </w:pPr>
      <w:r w:rsidRPr="00F06C50">
        <w:rPr>
          <w:rFonts w:asciiTheme="minorHAnsi" w:hAnsiTheme="minorHAnsi" w:cs="Arial"/>
          <w:sz w:val="24"/>
          <w:szCs w:val="24"/>
        </w:rPr>
        <w:t xml:space="preserve">Poročilo </w:t>
      </w:r>
      <w:r w:rsidR="000F44EA" w:rsidRPr="00F06C50">
        <w:rPr>
          <w:rFonts w:asciiTheme="minorHAnsi" w:hAnsiTheme="minorHAnsi" w:cs="Arial"/>
          <w:sz w:val="24"/>
          <w:szCs w:val="24"/>
        </w:rPr>
        <w:t>pripravili</w:t>
      </w:r>
      <w:r w:rsidRPr="00F06C50">
        <w:rPr>
          <w:rFonts w:asciiTheme="minorHAnsi" w:hAnsiTheme="minorHAnsi" w:cs="Arial"/>
          <w:sz w:val="24"/>
          <w:szCs w:val="24"/>
        </w:rPr>
        <w:t>:</w:t>
      </w:r>
      <w:r w:rsidR="000F44EA" w:rsidRPr="00F06C50">
        <w:rPr>
          <w:rFonts w:asciiTheme="minorHAnsi" w:hAnsiTheme="minorHAnsi" w:cs="Arial"/>
          <w:sz w:val="24"/>
          <w:szCs w:val="24"/>
        </w:rPr>
        <w:t xml:space="preserve"> Jure Brečko</w:t>
      </w:r>
      <w:r w:rsidR="00016DE2" w:rsidRPr="00F06C50">
        <w:rPr>
          <w:rFonts w:asciiTheme="minorHAnsi" w:hAnsiTheme="minorHAnsi" w:cs="Arial"/>
          <w:sz w:val="24"/>
          <w:szCs w:val="24"/>
        </w:rPr>
        <w:t>,</w:t>
      </w:r>
      <w:r w:rsidR="00F06C50" w:rsidRPr="00F06C50">
        <w:rPr>
          <w:rFonts w:asciiTheme="minorHAnsi" w:hAnsiTheme="minorHAnsi" w:cs="Arial"/>
          <w:sz w:val="24"/>
          <w:szCs w:val="24"/>
        </w:rPr>
        <w:t xml:space="preserve"> Ana Hiti, Maja Kožar, Ben Moljk</w:t>
      </w:r>
      <w:r w:rsidR="00016DE2" w:rsidRPr="00F06C50">
        <w:rPr>
          <w:rFonts w:asciiTheme="minorHAnsi" w:hAnsiTheme="minorHAnsi" w:cs="Arial"/>
          <w:sz w:val="24"/>
          <w:szCs w:val="24"/>
        </w:rPr>
        <w:t xml:space="preserve"> </w:t>
      </w:r>
      <w:r w:rsidR="000F44EA" w:rsidRPr="00F06C50">
        <w:rPr>
          <w:rFonts w:asciiTheme="minorHAnsi" w:hAnsiTheme="minorHAnsi" w:cs="Arial"/>
          <w:sz w:val="24"/>
          <w:szCs w:val="24"/>
        </w:rPr>
        <w:t>in Barbara Zagorc</w:t>
      </w:r>
    </w:p>
    <w:p w14:paraId="28C99535" w14:textId="77777777" w:rsidR="00455732" w:rsidRPr="00570532" w:rsidRDefault="00455732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586DE9FE" w14:textId="77777777" w:rsidR="00455732" w:rsidRPr="00570532" w:rsidRDefault="00455732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0BB6AA04" w14:textId="77777777" w:rsidR="00455732" w:rsidRPr="00570532" w:rsidRDefault="00455732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79A50EC7" w14:textId="77777777" w:rsidR="00455732" w:rsidRPr="00570532" w:rsidRDefault="00455732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4C34D264" w14:textId="77777777" w:rsidR="002E26EF" w:rsidRPr="00570532" w:rsidRDefault="002E26EF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217827F6" w14:textId="77777777" w:rsidR="007E1363" w:rsidRPr="00570532" w:rsidRDefault="007E1363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19A1D5D9" w14:textId="77777777" w:rsidR="007E1363" w:rsidRPr="00570532" w:rsidRDefault="007E1363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70959243" w14:textId="77777777" w:rsidR="00455732" w:rsidRPr="00570532" w:rsidRDefault="00455732" w:rsidP="00400887">
      <w:pPr>
        <w:jc w:val="center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35190987" w14:textId="3A3D811C" w:rsidR="00455732" w:rsidRDefault="00455732" w:rsidP="002E26EF">
      <w:pPr>
        <w:rPr>
          <w:rFonts w:asciiTheme="minorHAnsi" w:hAnsiTheme="minorHAnsi" w:cs="Arial"/>
          <w:sz w:val="24"/>
          <w:szCs w:val="24"/>
        </w:rPr>
      </w:pPr>
      <w:r w:rsidRPr="00F06C50">
        <w:rPr>
          <w:rFonts w:asciiTheme="minorHAnsi" w:hAnsiTheme="minorHAnsi" w:cs="Arial"/>
          <w:sz w:val="24"/>
          <w:szCs w:val="24"/>
        </w:rPr>
        <w:t>N</w:t>
      </w:r>
      <w:r w:rsidR="002E26EF" w:rsidRPr="00F06C50">
        <w:rPr>
          <w:rFonts w:asciiTheme="minorHAnsi" w:hAnsiTheme="minorHAnsi" w:cs="Arial"/>
          <w:sz w:val="24"/>
          <w:szCs w:val="24"/>
        </w:rPr>
        <w:t>AROČNIK</w:t>
      </w:r>
      <w:r w:rsidRPr="00F06C50">
        <w:rPr>
          <w:rFonts w:asciiTheme="minorHAnsi" w:hAnsiTheme="minorHAnsi" w:cs="Arial"/>
          <w:sz w:val="24"/>
          <w:szCs w:val="24"/>
        </w:rPr>
        <w:t>:</w:t>
      </w:r>
    </w:p>
    <w:p w14:paraId="648EE87C" w14:textId="77777777" w:rsidR="00B84FAC" w:rsidRPr="00F06C50" w:rsidRDefault="00B84FAC" w:rsidP="002E26EF">
      <w:pPr>
        <w:rPr>
          <w:rFonts w:asciiTheme="minorHAnsi" w:hAnsiTheme="minorHAnsi" w:cs="Arial"/>
          <w:sz w:val="24"/>
          <w:szCs w:val="24"/>
        </w:rPr>
      </w:pPr>
    </w:p>
    <w:p w14:paraId="1C8F5D2E" w14:textId="77777777" w:rsidR="00455732" w:rsidRPr="00F06C50" w:rsidRDefault="00455732" w:rsidP="002E26EF">
      <w:pPr>
        <w:rPr>
          <w:rFonts w:asciiTheme="minorHAnsi" w:hAnsiTheme="minorHAnsi" w:cs="Arial"/>
          <w:sz w:val="24"/>
          <w:szCs w:val="24"/>
        </w:rPr>
      </w:pPr>
      <w:r w:rsidRPr="00F06C50">
        <w:rPr>
          <w:rFonts w:asciiTheme="minorHAnsi" w:hAnsiTheme="minorHAnsi" w:cs="Arial"/>
          <w:sz w:val="24"/>
          <w:szCs w:val="24"/>
        </w:rPr>
        <w:t>Statistični urad Republike Slovenije</w:t>
      </w:r>
    </w:p>
    <w:p w14:paraId="42F67F15" w14:textId="77777777" w:rsidR="00400887" w:rsidRPr="00F06C50" w:rsidRDefault="00ED6948" w:rsidP="002E26EF">
      <w:pPr>
        <w:rPr>
          <w:rFonts w:asciiTheme="minorHAnsi" w:hAnsiTheme="minorHAnsi" w:cs="Arial"/>
          <w:sz w:val="24"/>
          <w:szCs w:val="24"/>
        </w:rPr>
      </w:pPr>
      <w:r w:rsidRPr="00F06C50">
        <w:rPr>
          <w:rFonts w:asciiTheme="minorHAnsi" w:hAnsiTheme="minorHAnsi" w:cs="Arial"/>
          <w:sz w:val="24"/>
          <w:szCs w:val="24"/>
        </w:rPr>
        <w:t>Litostrojska cesta 54</w:t>
      </w:r>
    </w:p>
    <w:p w14:paraId="05762C83" w14:textId="77777777" w:rsidR="00455732" w:rsidRPr="00DD2F74" w:rsidRDefault="00455732" w:rsidP="002E26EF">
      <w:pPr>
        <w:rPr>
          <w:rFonts w:asciiTheme="minorHAnsi" w:hAnsiTheme="minorHAnsi" w:cs="Arial"/>
          <w:sz w:val="24"/>
          <w:szCs w:val="24"/>
        </w:rPr>
      </w:pPr>
      <w:r w:rsidRPr="00DD2F74">
        <w:rPr>
          <w:rFonts w:asciiTheme="minorHAnsi" w:hAnsiTheme="minorHAnsi" w:cs="Arial"/>
          <w:sz w:val="24"/>
          <w:szCs w:val="24"/>
        </w:rPr>
        <w:t>1000 Ljubljana</w:t>
      </w:r>
    </w:p>
    <w:p w14:paraId="219655F0" w14:textId="77777777" w:rsidR="002E26EF" w:rsidRPr="00DD2F74" w:rsidRDefault="002E26EF" w:rsidP="00400887">
      <w:pPr>
        <w:pStyle w:val="Telobesedila"/>
        <w:ind w:firstLine="360"/>
        <w:jc w:val="center"/>
        <w:rPr>
          <w:rFonts w:asciiTheme="minorHAnsi" w:hAnsiTheme="minorHAnsi" w:cs="Arial"/>
          <w:szCs w:val="24"/>
          <w:lang w:val="sl-SI"/>
        </w:rPr>
      </w:pPr>
    </w:p>
    <w:p w14:paraId="1F6BA272" w14:textId="26987E59" w:rsidR="007E1363" w:rsidRPr="00DD2F74" w:rsidRDefault="007E1363" w:rsidP="007E1363">
      <w:pPr>
        <w:pStyle w:val="Telobesedila"/>
        <w:jc w:val="left"/>
        <w:rPr>
          <w:rFonts w:asciiTheme="minorHAnsi" w:hAnsiTheme="minorHAnsi" w:cs="Arial"/>
          <w:szCs w:val="24"/>
          <w:lang w:val="sl-SI"/>
        </w:rPr>
      </w:pPr>
      <w:r w:rsidRPr="00DD2F74">
        <w:rPr>
          <w:rFonts w:asciiTheme="minorHAnsi" w:hAnsiTheme="minorHAnsi" w:cs="Arial"/>
          <w:szCs w:val="24"/>
          <w:lang w:val="sl-SI"/>
        </w:rPr>
        <w:t>Pogodba</w:t>
      </w:r>
      <w:r w:rsidR="002858EB" w:rsidRPr="00DD2F74">
        <w:rPr>
          <w:rFonts w:asciiTheme="minorHAnsi" w:hAnsiTheme="minorHAnsi" w:cs="Arial"/>
          <w:szCs w:val="24"/>
          <w:lang w:val="sl-SI"/>
        </w:rPr>
        <w:t xml:space="preserve"> št.</w:t>
      </w:r>
      <w:r w:rsidR="00F06C50" w:rsidRPr="00DD2F74">
        <w:rPr>
          <w:rFonts w:asciiTheme="minorHAnsi" w:hAnsiTheme="minorHAnsi" w:cs="Arial"/>
          <w:szCs w:val="24"/>
          <w:lang w:val="sl-SI"/>
        </w:rPr>
        <w:t xml:space="preserve"> 430-22</w:t>
      </w:r>
      <w:r w:rsidR="002858EB" w:rsidRPr="00DD2F74">
        <w:rPr>
          <w:rFonts w:asciiTheme="minorHAnsi" w:hAnsiTheme="minorHAnsi" w:cs="Arial"/>
          <w:szCs w:val="24"/>
          <w:lang w:val="sl-SI"/>
        </w:rPr>
        <w:t>/</w:t>
      </w:r>
      <w:r w:rsidR="00F06C50" w:rsidRPr="00DD2F74">
        <w:rPr>
          <w:rFonts w:asciiTheme="minorHAnsi" w:hAnsiTheme="minorHAnsi" w:cs="Arial"/>
          <w:szCs w:val="24"/>
          <w:lang w:val="sl-SI"/>
        </w:rPr>
        <w:t>2020</w:t>
      </w:r>
      <w:r w:rsidR="002858EB" w:rsidRPr="00DD2F74">
        <w:rPr>
          <w:rFonts w:asciiTheme="minorHAnsi" w:hAnsiTheme="minorHAnsi" w:cs="Arial"/>
          <w:szCs w:val="24"/>
          <w:lang w:val="sl-SI"/>
        </w:rPr>
        <w:t xml:space="preserve"> z dne </w:t>
      </w:r>
      <w:r w:rsidR="00DD2F74" w:rsidRPr="00DD2F74">
        <w:rPr>
          <w:rFonts w:asciiTheme="minorHAnsi" w:hAnsiTheme="minorHAnsi" w:cs="Arial"/>
          <w:szCs w:val="24"/>
          <w:lang w:val="sl-SI"/>
        </w:rPr>
        <w:t>31.</w:t>
      </w:r>
      <w:r w:rsidR="00765747">
        <w:rPr>
          <w:rFonts w:asciiTheme="minorHAnsi" w:hAnsiTheme="minorHAnsi" w:cs="Arial"/>
          <w:szCs w:val="24"/>
          <w:lang w:val="sl-SI"/>
        </w:rPr>
        <w:t xml:space="preserve"> </w:t>
      </w:r>
      <w:r w:rsidR="00DD2F74" w:rsidRPr="00DD2F74">
        <w:rPr>
          <w:rFonts w:asciiTheme="minorHAnsi" w:hAnsiTheme="minorHAnsi" w:cs="Arial"/>
          <w:szCs w:val="24"/>
          <w:lang w:val="sl-SI"/>
        </w:rPr>
        <w:t>3.</w:t>
      </w:r>
      <w:r w:rsidR="00765747">
        <w:rPr>
          <w:rFonts w:asciiTheme="minorHAnsi" w:hAnsiTheme="minorHAnsi" w:cs="Arial"/>
          <w:szCs w:val="24"/>
          <w:lang w:val="sl-SI"/>
        </w:rPr>
        <w:t xml:space="preserve"> </w:t>
      </w:r>
      <w:r w:rsidR="00DD2F74" w:rsidRPr="00DD2F74">
        <w:rPr>
          <w:rFonts w:asciiTheme="minorHAnsi" w:hAnsiTheme="minorHAnsi" w:cs="Arial"/>
          <w:szCs w:val="24"/>
          <w:lang w:val="sl-SI"/>
        </w:rPr>
        <w:t>2020</w:t>
      </w:r>
    </w:p>
    <w:p w14:paraId="7F43A31C" w14:textId="77777777" w:rsidR="002E26EF" w:rsidRPr="00DD2F74" w:rsidRDefault="002E26EF" w:rsidP="00400887">
      <w:pPr>
        <w:pStyle w:val="Telobesedila"/>
        <w:ind w:firstLine="360"/>
        <w:jc w:val="center"/>
        <w:rPr>
          <w:rFonts w:asciiTheme="minorHAnsi" w:hAnsiTheme="minorHAnsi" w:cs="Arial"/>
          <w:szCs w:val="24"/>
          <w:lang w:val="sl-SI"/>
        </w:rPr>
      </w:pPr>
    </w:p>
    <w:p w14:paraId="60D5761C" w14:textId="77777777" w:rsidR="002E26EF" w:rsidRPr="00DD2F74" w:rsidRDefault="002E26EF" w:rsidP="00400887">
      <w:pPr>
        <w:pStyle w:val="Telobesedila"/>
        <w:ind w:firstLine="360"/>
        <w:jc w:val="center"/>
        <w:rPr>
          <w:rFonts w:asciiTheme="minorHAnsi" w:hAnsiTheme="minorHAnsi" w:cs="Arial"/>
          <w:szCs w:val="24"/>
          <w:lang w:val="sl-SI"/>
        </w:rPr>
      </w:pPr>
    </w:p>
    <w:p w14:paraId="782103A2" w14:textId="77777777" w:rsidR="002E26EF" w:rsidRPr="00DD2F74" w:rsidRDefault="002E26EF" w:rsidP="00400887">
      <w:pPr>
        <w:pStyle w:val="Telobesedila"/>
        <w:ind w:firstLine="360"/>
        <w:jc w:val="center"/>
        <w:rPr>
          <w:rFonts w:asciiTheme="minorHAnsi" w:hAnsiTheme="minorHAnsi" w:cs="Arial"/>
          <w:szCs w:val="24"/>
          <w:lang w:val="sl-SI"/>
        </w:rPr>
      </w:pPr>
    </w:p>
    <w:p w14:paraId="25955A89" w14:textId="4859B7E6" w:rsidR="002E26EF" w:rsidRDefault="002E26EF" w:rsidP="00400887">
      <w:pPr>
        <w:pStyle w:val="Telobesedila"/>
        <w:ind w:firstLine="360"/>
        <w:jc w:val="center"/>
        <w:rPr>
          <w:rFonts w:asciiTheme="minorHAnsi" w:hAnsiTheme="minorHAnsi" w:cs="Arial"/>
          <w:szCs w:val="24"/>
          <w:lang w:val="sl-SI"/>
        </w:rPr>
      </w:pPr>
    </w:p>
    <w:p w14:paraId="4D91A4A6" w14:textId="41823B76" w:rsidR="00483607" w:rsidRPr="00DD2F74" w:rsidRDefault="00483607" w:rsidP="00400887">
      <w:pPr>
        <w:pStyle w:val="Telobesedila"/>
        <w:ind w:firstLine="360"/>
        <w:jc w:val="center"/>
        <w:rPr>
          <w:rFonts w:asciiTheme="minorHAnsi" w:hAnsiTheme="minorHAnsi" w:cs="Arial"/>
          <w:szCs w:val="24"/>
          <w:lang w:val="sl-SI"/>
        </w:rPr>
      </w:pPr>
    </w:p>
    <w:p w14:paraId="561A487E" w14:textId="315A70C8" w:rsidR="008A5CAF" w:rsidRPr="00DD2F74" w:rsidRDefault="00400887" w:rsidP="00400887">
      <w:pPr>
        <w:pStyle w:val="Telobesedila"/>
        <w:ind w:firstLine="360"/>
        <w:jc w:val="center"/>
        <w:rPr>
          <w:rFonts w:asciiTheme="minorHAnsi" w:hAnsiTheme="minorHAnsi" w:cs="Arial"/>
          <w:szCs w:val="24"/>
          <w:lang w:val="sl-SI"/>
        </w:rPr>
      </w:pPr>
      <w:r w:rsidRPr="00DD2F74">
        <w:rPr>
          <w:rFonts w:asciiTheme="minorHAnsi" w:hAnsiTheme="minorHAnsi" w:cs="Arial"/>
          <w:szCs w:val="24"/>
          <w:lang w:val="sl-SI"/>
        </w:rPr>
        <w:t>Ljubljana</w:t>
      </w:r>
      <w:r w:rsidRPr="00626C40">
        <w:rPr>
          <w:rFonts w:asciiTheme="minorHAnsi" w:hAnsiTheme="minorHAnsi" w:cs="Arial"/>
          <w:szCs w:val="24"/>
          <w:lang w:val="sl-SI"/>
        </w:rPr>
        <w:t xml:space="preserve">, </w:t>
      </w:r>
      <w:r w:rsidR="00C60ACB">
        <w:rPr>
          <w:rFonts w:asciiTheme="minorHAnsi" w:hAnsiTheme="minorHAnsi" w:cs="Arial"/>
          <w:szCs w:val="24"/>
          <w:lang w:val="sl-SI"/>
        </w:rPr>
        <w:t>1. december</w:t>
      </w:r>
      <w:r w:rsidRPr="00626C40">
        <w:rPr>
          <w:rFonts w:asciiTheme="minorHAnsi" w:hAnsiTheme="minorHAnsi" w:cs="Arial"/>
          <w:szCs w:val="24"/>
          <w:lang w:val="sl-SI"/>
        </w:rPr>
        <w:t xml:space="preserve"> 20</w:t>
      </w:r>
      <w:r w:rsidR="00DD2F74" w:rsidRPr="00626C40">
        <w:rPr>
          <w:rFonts w:asciiTheme="minorHAnsi" w:hAnsiTheme="minorHAnsi" w:cs="Arial"/>
          <w:szCs w:val="24"/>
          <w:lang w:val="sl-SI"/>
        </w:rPr>
        <w:t>20</w:t>
      </w:r>
      <w:r w:rsidRPr="00DD2F74">
        <w:rPr>
          <w:rFonts w:asciiTheme="minorHAnsi" w:hAnsiTheme="minorHAnsi" w:cs="Arial"/>
          <w:szCs w:val="24"/>
          <w:lang w:val="sl-SI"/>
        </w:rPr>
        <w:t xml:space="preserve"> </w:t>
      </w:r>
    </w:p>
    <w:p w14:paraId="495BEF87" w14:textId="597D9590" w:rsidR="00D85843" w:rsidRPr="00C4438B" w:rsidRDefault="00455732" w:rsidP="00D85843">
      <w:pPr>
        <w:rPr>
          <w:rFonts w:asciiTheme="minorHAnsi" w:hAnsiTheme="minorHAnsi" w:cs="Arial"/>
          <w:b/>
          <w:sz w:val="28"/>
          <w:szCs w:val="28"/>
        </w:rPr>
      </w:pPr>
      <w:r w:rsidRPr="00570532">
        <w:rPr>
          <w:rFonts w:asciiTheme="minorHAnsi" w:hAnsiTheme="minorHAnsi" w:cs="Arial"/>
          <w:color w:val="4F81BD" w:themeColor="accent1"/>
          <w:sz w:val="24"/>
          <w:szCs w:val="24"/>
        </w:rPr>
        <w:br w:type="page"/>
      </w:r>
      <w:r w:rsidR="00D85843" w:rsidRPr="00C4438B">
        <w:rPr>
          <w:rFonts w:asciiTheme="minorHAnsi" w:hAnsiTheme="minorHAnsi" w:cs="Arial"/>
          <w:b/>
          <w:sz w:val="28"/>
          <w:szCs w:val="28"/>
        </w:rPr>
        <w:lastRenderedPageBreak/>
        <w:t>Kratek opis metodologije izračuna S</w:t>
      </w:r>
      <w:r w:rsidR="00C82A03" w:rsidRPr="00C4438B">
        <w:rPr>
          <w:rFonts w:asciiTheme="minorHAnsi" w:hAnsiTheme="minorHAnsi" w:cs="Arial"/>
          <w:b/>
          <w:sz w:val="28"/>
          <w:szCs w:val="28"/>
        </w:rPr>
        <w:t>O</w:t>
      </w:r>
      <w:r w:rsidR="008D6CD6">
        <w:rPr>
          <w:rFonts w:asciiTheme="minorHAnsi" w:hAnsiTheme="minorHAnsi" w:cs="Arial"/>
          <w:b/>
          <w:sz w:val="28"/>
          <w:szCs w:val="28"/>
        </w:rPr>
        <w:t>C</w:t>
      </w:r>
      <w:r w:rsidR="00D85843" w:rsidRPr="00C4438B">
        <w:rPr>
          <w:rFonts w:asciiTheme="minorHAnsi" w:hAnsiTheme="minorHAnsi" w:cs="Arial"/>
          <w:b/>
          <w:sz w:val="28"/>
          <w:szCs w:val="28"/>
        </w:rPr>
        <w:t xml:space="preserve"> 20</w:t>
      </w:r>
      <w:r w:rsidR="00ED6948" w:rsidRPr="00C4438B">
        <w:rPr>
          <w:rFonts w:asciiTheme="minorHAnsi" w:hAnsiTheme="minorHAnsi" w:cs="Arial"/>
          <w:b/>
          <w:sz w:val="28"/>
          <w:szCs w:val="28"/>
        </w:rPr>
        <w:t>1</w:t>
      </w:r>
      <w:r w:rsidR="00C4438B" w:rsidRPr="00C4438B">
        <w:rPr>
          <w:rFonts w:asciiTheme="minorHAnsi" w:hAnsiTheme="minorHAnsi" w:cs="Arial"/>
          <w:b/>
          <w:sz w:val="28"/>
          <w:szCs w:val="28"/>
        </w:rPr>
        <w:t>7</w:t>
      </w:r>
      <w:r w:rsidR="00D85843" w:rsidRPr="00C4438B">
        <w:rPr>
          <w:rFonts w:asciiTheme="minorHAnsi" w:hAnsiTheme="minorHAnsi" w:cs="Arial"/>
          <w:b/>
          <w:sz w:val="28"/>
          <w:szCs w:val="28"/>
        </w:rPr>
        <w:t xml:space="preserve"> za Slovenijo</w:t>
      </w:r>
    </w:p>
    <w:p w14:paraId="6700DB24" w14:textId="77777777" w:rsidR="00D85843" w:rsidRPr="00570532" w:rsidRDefault="00D85843" w:rsidP="00D85843">
      <w:pPr>
        <w:pStyle w:val="Telobesedila2"/>
        <w:rPr>
          <w:rFonts w:asciiTheme="minorHAnsi" w:hAnsiTheme="minorHAnsi" w:cs="Arial"/>
          <w:color w:val="4F81BD" w:themeColor="accent1"/>
          <w:szCs w:val="24"/>
        </w:rPr>
      </w:pPr>
    </w:p>
    <w:p w14:paraId="26E3F0C3" w14:textId="77777777" w:rsidR="00DA5E33" w:rsidRPr="00570532" w:rsidRDefault="00DA5E33" w:rsidP="00D85843">
      <w:pPr>
        <w:pStyle w:val="Telobesedila2"/>
        <w:rPr>
          <w:rFonts w:asciiTheme="minorHAnsi" w:hAnsiTheme="minorHAnsi" w:cs="Arial"/>
          <w:color w:val="4F81BD" w:themeColor="accent1"/>
          <w:szCs w:val="24"/>
        </w:rPr>
      </w:pPr>
    </w:p>
    <w:p w14:paraId="119825E9" w14:textId="77777777" w:rsidR="00D85843" w:rsidRPr="00DD2F74" w:rsidRDefault="00D85843" w:rsidP="00DA5E33">
      <w:pPr>
        <w:spacing w:after="120"/>
        <w:rPr>
          <w:rFonts w:asciiTheme="minorHAnsi" w:hAnsiTheme="minorHAnsi" w:cs="Arial"/>
          <w:b/>
          <w:sz w:val="24"/>
          <w:szCs w:val="24"/>
        </w:rPr>
      </w:pPr>
      <w:r w:rsidRPr="00DD2F74">
        <w:rPr>
          <w:rFonts w:asciiTheme="minorHAnsi" w:hAnsiTheme="minorHAnsi" w:cs="Arial"/>
          <w:b/>
          <w:sz w:val="24"/>
          <w:szCs w:val="24"/>
        </w:rPr>
        <w:t>Referenčno obdobje in območje</w:t>
      </w:r>
    </w:p>
    <w:p w14:paraId="14F3108C" w14:textId="159D51E1" w:rsidR="0049264A" w:rsidRPr="00DD2F74" w:rsidRDefault="00E5271C" w:rsidP="00DA5E33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DD2F74">
        <w:rPr>
          <w:rFonts w:asciiTheme="minorHAnsi" w:hAnsiTheme="minorHAnsi" w:cs="Arial"/>
          <w:sz w:val="24"/>
          <w:szCs w:val="24"/>
        </w:rPr>
        <w:t>Koeficienti s</w:t>
      </w:r>
      <w:r w:rsidR="00ED6948" w:rsidRPr="00DD2F74">
        <w:rPr>
          <w:rFonts w:asciiTheme="minorHAnsi" w:hAnsiTheme="minorHAnsi" w:cs="Arial"/>
          <w:sz w:val="24"/>
          <w:szCs w:val="24"/>
        </w:rPr>
        <w:t>tandardn</w:t>
      </w:r>
      <w:r w:rsidRPr="00DD2F74">
        <w:rPr>
          <w:rFonts w:asciiTheme="minorHAnsi" w:hAnsiTheme="minorHAnsi" w:cs="Arial"/>
          <w:sz w:val="24"/>
          <w:szCs w:val="24"/>
        </w:rPr>
        <w:t>ega</w:t>
      </w:r>
      <w:r w:rsidR="00ED6948" w:rsidRPr="00DD2F74">
        <w:rPr>
          <w:rFonts w:asciiTheme="minorHAnsi" w:hAnsiTheme="minorHAnsi" w:cs="Arial"/>
          <w:sz w:val="24"/>
          <w:szCs w:val="24"/>
        </w:rPr>
        <w:t xml:space="preserve"> </w:t>
      </w:r>
      <w:r w:rsidR="00CF2AC2" w:rsidRPr="00DD2F74">
        <w:rPr>
          <w:rFonts w:asciiTheme="minorHAnsi" w:hAnsiTheme="minorHAnsi" w:cs="Arial"/>
          <w:sz w:val="24"/>
          <w:szCs w:val="24"/>
        </w:rPr>
        <w:t>prihodka</w:t>
      </w:r>
      <w:r w:rsidR="00ED6948" w:rsidRPr="00DD2F74">
        <w:rPr>
          <w:rFonts w:asciiTheme="minorHAnsi" w:hAnsiTheme="minorHAnsi" w:cs="Arial"/>
          <w:sz w:val="24"/>
          <w:szCs w:val="24"/>
        </w:rPr>
        <w:t xml:space="preserve"> (</w:t>
      </w:r>
      <w:r w:rsidR="00CF5ADA" w:rsidRPr="00DD2F74">
        <w:rPr>
          <w:rFonts w:asciiTheme="minorHAnsi" w:hAnsiTheme="minorHAnsi" w:cs="Arial"/>
          <w:sz w:val="24"/>
          <w:szCs w:val="24"/>
        </w:rPr>
        <w:t>S</w:t>
      </w:r>
      <w:r w:rsidR="00C82A03" w:rsidRPr="00DD2F74">
        <w:rPr>
          <w:rFonts w:asciiTheme="minorHAnsi" w:hAnsiTheme="minorHAnsi" w:cs="Arial"/>
          <w:sz w:val="24"/>
          <w:szCs w:val="24"/>
        </w:rPr>
        <w:t>O</w:t>
      </w:r>
      <w:r w:rsidR="008D6CD6">
        <w:rPr>
          <w:rFonts w:asciiTheme="minorHAnsi" w:hAnsiTheme="minorHAnsi" w:cs="Arial"/>
          <w:sz w:val="24"/>
          <w:szCs w:val="24"/>
        </w:rPr>
        <w:t>C</w:t>
      </w:r>
      <w:r w:rsidR="00ED6948" w:rsidRPr="00DD2F74">
        <w:rPr>
          <w:rFonts w:asciiTheme="minorHAnsi" w:hAnsiTheme="minorHAnsi" w:cs="Arial"/>
          <w:sz w:val="24"/>
          <w:szCs w:val="24"/>
        </w:rPr>
        <w:t>)</w:t>
      </w:r>
      <w:r w:rsidR="00CF5ADA" w:rsidRPr="00DD2F74">
        <w:rPr>
          <w:rFonts w:asciiTheme="minorHAnsi" w:hAnsiTheme="minorHAnsi" w:cs="Arial"/>
          <w:sz w:val="24"/>
          <w:szCs w:val="24"/>
        </w:rPr>
        <w:t xml:space="preserve"> </w:t>
      </w:r>
      <w:r w:rsidRPr="00DD2F74">
        <w:rPr>
          <w:rFonts w:asciiTheme="minorHAnsi" w:hAnsiTheme="minorHAnsi" w:cs="Arial"/>
          <w:sz w:val="24"/>
          <w:szCs w:val="24"/>
        </w:rPr>
        <w:t xml:space="preserve">so izračunani za pet </w:t>
      </w:r>
      <w:r w:rsidR="00CF5ADA" w:rsidRPr="00DD2F74">
        <w:rPr>
          <w:rFonts w:asciiTheme="minorHAnsi" w:hAnsiTheme="minorHAnsi" w:cs="Arial"/>
          <w:sz w:val="24"/>
          <w:szCs w:val="24"/>
        </w:rPr>
        <w:t xml:space="preserve">zaporednih </w:t>
      </w:r>
      <w:r w:rsidRPr="00DD2F74">
        <w:rPr>
          <w:rFonts w:asciiTheme="minorHAnsi" w:hAnsiTheme="minorHAnsi" w:cs="Arial"/>
          <w:sz w:val="24"/>
          <w:szCs w:val="24"/>
        </w:rPr>
        <w:t xml:space="preserve">koledarskih </w:t>
      </w:r>
      <w:r w:rsidR="00CF5ADA" w:rsidRPr="00DD2F74">
        <w:rPr>
          <w:rFonts w:asciiTheme="minorHAnsi" w:hAnsiTheme="minorHAnsi" w:cs="Arial"/>
          <w:sz w:val="24"/>
          <w:szCs w:val="24"/>
        </w:rPr>
        <w:t>let, in sicer 20</w:t>
      </w:r>
      <w:r w:rsidR="0043239D" w:rsidRPr="00DD2F74">
        <w:rPr>
          <w:rFonts w:asciiTheme="minorHAnsi" w:hAnsiTheme="minorHAnsi" w:cs="Arial"/>
          <w:sz w:val="24"/>
          <w:szCs w:val="24"/>
        </w:rPr>
        <w:t>1</w:t>
      </w:r>
      <w:r w:rsidRPr="00DD2F74">
        <w:rPr>
          <w:rFonts w:asciiTheme="minorHAnsi" w:hAnsiTheme="minorHAnsi" w:cs="Arial"/>
          <w:sz w:val="24"/>
          <w:szCs w:val="24"/>
        </w:rPr>
        <w:t>5</w:t>
      </w:r>
      <w:r w:rsidR="00DD2F74" w:rsidRPr="00DD2F74">
        <w:rPr>
          <w:rFonts w:asciiTheme="minorHAnsi" w:hAnsiTheme="minorHAnsi" w:cs="Arial"/>
          <w:sz w:val="24"/>
          <w:szCs w:val="24"/>
        </w:rPr>
        <w:t>, 2016, 2017, 2018 in 2019</w:t>
      </w:r>
      <w:r w:rsidR="00CF5ADA" w:rsidRPr="00DD2F74">
        <w:rPr>
          <w:rFonts w:asciiTheme="minorHAnsi" w:hAnsiTheme="minorHAnsi" w:cs="Arial"/>
          <w:sz w:val="24"/>
          <w:szCs w:val="24"/>
        </w:rPr>
        <w:t>.</w:t>
      </w:r>
      <w:r w:rsidR="00D34A65">
        <w:rPr>
          <w:rFonts w:asciiTheme="minorHAnsi" w:hAnsiTheme="minorHAnsi" w:cs="Arial"/>
          <w:sz w:val="24"/>
          <w:szCs w:val="24"/>
        </w:rPr>
        <w:t xml:space="preserve"> SO</w:t>
      </w:r>
      <w:r w:rsidR="008D6CD6">
        <w:rPr>
          <w:rFonts w:asciiTheme="minorHAnsi" w:hAnsiTheme="minorHAnsi" w:cs="Arial"/>
          <w:sz w:val="24"/>
          <w:szCs w:val="24"/>
        </w:rPr>
        <w:t>C</w:t>
      </w:r>
      <w:r w:rsidR="001362A0">
        <w:rPr>
          <w:rFonts w:asciiTheme="minorHAnsi" w:hAnsiTheme="minorHAnsi" w:cs="Arial"/>
          <w:sz w:val="24"/>
          <w:szCs w:val="24"/>
        </w:rPr>
        <w:t xml:space="preserve"> </w:t>
      </w:r>
      <w:r w:rsidR="00D34A65">
        <w:rPr>
          <w:rFonts w:asciiTheme="minorHAnsi" w:hAnsiTheme="minorHAnsi" w:cs="Arial"/>
          <w:sz w:val="24"/>
          <w:szCs w:val="24"/>
        </w:rPr>
        <w:t>2017 je izračunan kot aritmetično povprečje vrednosti za koledarska leta 2015</w:t>
      </w:r>
      <w:r w:rsidR="008D074B">
        <w:rPr>
          <w:rFonts w:asciiTheme="minorHAnsi" w:hAnsiTheme="minorHAnsi" w:cs="Arial"/>
          <w:sz w:val="24"/>
          <w:szCs w:val="24"/>
        </w:rPr>
        <w:t>–</w:t>
      </w:r>
      <w:r w:rsidR="00D34A65">
        <w:rPr>
          <w:rFonts w:asciiTheme="minorHAnsi" w:hAnsiTheme="minorHAnsi" w:cs="Arial"/>
          <w:sz w:val="24"/>
          <w:szCs w:val="24"/>
        </w:rPr>
        <w:t>2019.</w:t>
      </w:r>
      <w:r w:rsidR="00CF5ADA" w:rsidRPr="00DD2F74">
        <w:rPr>
          <w:rFonts w:asciiTheme="minorHAnsi" w:hAnsiTheme="minorHAnsi" w:cs="Arial"/>
          <w:sz w:val="24"/>
          <w:szCs w:val="24"/>
        </w:rPr>
        <w:t xml:space="preserve"> </w:t>
      </w:r>
      <w:r w:rsidR="0049264A" w:rsidRPr="00DD2F74">
        <w:rPr>
          <w:rFonts w:asciiTheme="minorHAnsi" w:hAnsiTheme="minorHAnsi" w:cs="Arial"/>
          <w:sz w:val="24"/>
          <w:szCs w:val="24"/>
        </w:rPr>
        <w:t>Izračuni se nanašajo na območje celotne Slovenije (SI).</w:t>
      </w:r>
    </w:p>
    <w:p w14:paraId="4BCE877A" w14:textId="77777777" w:rsidR="0049264A" w:rsidRPr="00570532" w:rsidRDefault="0049264A" w:rsidP="00DA5E33">
      <w:pPr>
        <w:spacing w:after="120"/>
        <w:jc w:val="both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4D302B23" w14:textId="58D7BCC0" w:rsidR="00D85843" w:rsidRPr="00C4438B" w:rsidRDefault="00D85843" w:rsidP="00DA5E33">
      <w:pPr>
        <w:spacing w:after="120"/>
        <w:rPr>
          <w:rFonts w:asciiTheme="minorHAnsi" w:hAnsiTheme="minorHAnsi" w:cs="Arial"/>
          <w:b/>
          <w:sz w:val="24"/>
          <w:szCs w:val="24"/>
        </w:rPr>
      </w:pPr>
      <w:r w:rsidRPr="00C4438B">
        <w:rPr>
          <w:rFonts w:asciiTheme="minorHAnsi" w:hAnsiTheme="minorHAnsi" w:cs="Arial"/>
          <w:b/>
          <w:sz w:val="24"/>
          <w:szCs w:val="24"/>
        </w:rPr>
        <w:t>Zajetje izračunov S</w:t>
      </w:r>
      <w:r w:rsidR="00490E24" w:rsidRPr="00C4438B">
        <w:rPr>
          <w:rFonts w:asciiTheme="minorHAnsi" w:hAnsiTheme="minorHAnsi" w:cs="Arial"/>
          <w:b/>
          <w:sz w:val="24"/>
          <w:szCs w:val="24"/>
        </w:rPr>
        <w:t>O</w:t>
      </w:r>
      <w:r w:rsidR="008D6CD6">
        <w:rPr>
          <w:rFonts w:asciiTheme="minorHAnsi" w:hAnsiTheme="minorHAnsi" w:cs="Arial"/>
          <w:b/>
          <w:sz w:val="24"/>
          <w:szCs w:val="24"/>
        </w:rPr>
        <w:t>C</w:t>
      </w:r>
      <w:r w:rsidRPr="00C4438B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4BF3B30F" w14:textId="6AE64DA1" w:rsidR="000A059C" w:rsidRPr="00570532" w:rsidRDefault="00D85843" w:rsidP="00DA5E33">
      <w:pPr>
        <w:spacing w:after="120"/>
        <w:jc w:val="both"/>
        <w:rPr>
          <w:rFonts w:asciiTheme="minorHAnsi" w:hAnsiTheme="minorHAnsi" w:cs="Arial"/>
          <w:color w:val="4F81BD" w:themeColor="accent1"/>
          <w:sz w:val="24"/>
          <w:szCs w:val="24"/>
        </w:rPr>
      </w:pPr>
      <w:r w:rsidRPr="00C4438B">
        <w:rPr>
          <w:rFonts w:asciiTheme="minorHAnsi" w:hAnsiTheme="minorHAnsi" w:cs="Arial"/>
          <w:sz w:val="24"/>
          <w:szCs w:val="24"/>
        </w:rPr>
        <w:t>S</w:t>
      </w:r>
      <w:r w:rsidR="00DE7034" w:rsidRPr="00C4438B">
        <w:rPr>
          <w:rFonts w:asciiTheme="minorHAnsi" w:hAnsiTheme="minorHAnsi" w:cs="Arial"/>
          <w:sz w:val="24"/>
          <w:szCs w:val="24"/>
        </w:rPr>
        <w:t>O</w:t>
      </w:r>
      <w:r w:rsidR="008D6CD6">
        <w:rPr>
          <w:rFonts w:asciiTheme="minorHAnsi" w:hAnsiTheme="minorHAnsi" w:cs="Arial"/>
          <w:sz w:val="24"/>
          <w:szCs w:val="24"/>
        </w:rPr>
        <w:t>C</w:t>
      </w:r>
      <w:r w:rsidRPr="00C4438B">
        <w:rPr>
          <w:rFonts w:asciiTheme="minorHAnsi" w:hAnsiTheme="minorHAnsi" w:cs="Arial"/>
          <w:sz w:val="24"/>
          <w:szCs w:val="24"/>
        </w:rPr>
        <w:t xml:space="preserve"> </w:t>
      </w:r>
      <w:r w:rsidR="00E5271C" w:rsidRPr="00C4438B">
        <w:rPr>
          <w:rFonts w:asciiTheme="minorHAnsi" w:hAnsiTheme="minorHAnsi" w:cs="Arial"/>
          <w:sz w:val="24"/>
          <w:szCs w:val="24"/>
        </w:rPr>
        <w:t xml:space="preserve">je </w:t>
      </w:r>
      <w:r w:rsidRPr="00C4438B">
        <w:rPr>
          <w:rFonts w:asciiTheme="minorHAnsi" w:hAnsiTheme="minorHAnsi" w:cs="Arial"/>
          <w:sz w:val="24"/>
          <w:szCs w:val="24"/>
        </w:rPr>
        <w:t>izračunan</w:t>
      </w:r>
      <w:r w:rsidR="00380E21" w:rsidRPr="00C4438B">
        <w:rPr>
          <w:rFonts w:asciiTheme="minorHAnsi" w:hAnsiTheme="minorHAnsi" w:cs="Arial"/>
          <w:sz w:val="24"/>
          <w:szCs w:val="24"/>
        </w:rPr>
        <w:t xml:space="preserve"> </w:t>
      </w:r>
      <w:r w:rsidRPr="00C4438B">
        <w:rPr>
          <w:rFonts w:asciiTheme="minorHAnsi" w:hAnsiTheme="minorHAnsi" w:cs="Arial"/>
          <w:sz w:val="24"/>
          <w:szCs w:val="24"/>
        </w:rPr>
        <w:t xml:space="preserve">za </w:t>
      </w:r>
      <w:r w:rsidR="00E5271C" w:rsidRPr="00C4438B">
        <w:rPr>
          <w:rFonts w:asciiTheme="minorHAnsi" w:hAnsiTheme="minorHAnsi" w:cs="Arial"/>
          <w:sz w:val="24"/>
          <w:szCs w:val="24"/>
        </w:rPr>
        <w:t xml:space="preserve">vse </w:t>
      </w:r>
      <w:r w:rsidR="008D074B">
        <w:rPr>
          <w:rFonts w:asciiTheme="minorHAnsi" w:hAnsiTheme="minorHAnsi" w:cs="Arial"/>
          <w:sz w:val="24"/>
          <w:szCs w:val="24"/>
        </w:rPr>
        <w:t xml:space="preserve">rastlinske in živalske proizvode </w:t>
      </w:r>
      <w:r w:rsidR="005226D2">
        <w:rPr>
          <w:rFonts w:asciiTheme="minorHAnsi" w:hAnsiTheme="minorHAnsi" w:cs="Arial"/>
          <w:sz w:val="24"/>
          <w:szCs w:val="24"/>
        </w:rPr>
        <w:t xml:space="preserve">določene v </w:t>
      </w:r>
      <w:r w:rsidR="005F222F">
        <w:rPr>
          <w:rFonts w:asciiTheme="minorHAnsi" w:hAnsiTheme="minorHAnsi" w:cs="Arial"/>
          <w:sz w:val="24"/>
          <w:szCs w:val="24"/>
        </w:rPr>
        <w:t xml:space="preserve">predpisani </w:t>
      </w:r>
      <w:r w:rsidR="005226D2">
        <w:rPr>
          <w:rFonts w:asciiTheme="minorHAnsi" w:hAnsiTheme="minorHAnsi" w:cs="Arial"/>
          <w:sz w:val="24"/>
          <w:szCs w:val="24"/>
        </w:rPr>
        <w:t>metodologiji Eurostata</w:t>
      </w:r>
      <w:r w:rsidR="008B35E8" w:rsidRPr="00F05C00">
        <w:rPr>
          <w:rStyle w:val="Sprotnaopomba-sklic"/>
          <w:rFonts w:asciiTheme="minorHAnsi" w:hAnsiTheme="minorHAnsi" w:cs="Arial"/>
          <w:sz w:val="24"/>
          <w:szCs w:val="24"/>
        </w:rPr>
        <w:footnoteReference w:id="1"/>
      </w:r>
      <w:r w:rsidR="00C4438B" w:rsidRPr="008B35E8">
        <w:rPr>
          <w:rFonts w:asciiTheme="minorHAnsi" w:hAnsiTheme="minorHAnsi" w:cs="Arial"/>
          <w:sz w:val="24"/>
          <w:szCs w:val="24"/>
        </w:rPr>
        <w:t>.</w:t>
      </w:r>
      <w:r w:rsidR="00165D84" w:rsidRPr="00C4438B">
        <w:rPr>
          <w:rFonts w:asciiTheme="minorHAnsi" w:hAnsiTheme="minorHAnsi" w:cs="Arial"/>
          <w:sz w:val="24"/>
          <w:szCs w:val="24"/>
        </w:rPr>
        <w:t xml:space="preserve"> </w:t>
      </w:r>
      <w:r w:rsidR="00BA159E" w:rsidRPr="00C4438B">
        <w:rPr>
          <w:rFonts w:asciiTheme="minorHAnsi" w:eastAsia="Arial Unicode MS" w:hAnsiTheme="minorHAnsi"/>
          <w:sz w:val="24"/>
          <w:szCs w:val="24"/>
        </w:rPr>
        <w:t>SO</w:t>
      </w:r>
      <w:r w:rsidR="008D6CD6">
        <w:rPr>
          <w:rFonts w:asciiTheme="minorHAnsi" w:eastAsia="Arial Unicode MS" w:hAnsiTheme="minorHAnsi"/>
          <w:sz w:val="24"/>
          <w:szCs w:val="24"/>
        </w:rPr>
        <w:t>C</w:t>
      </w:r>
      <w:r w:rsidR="00BA159E" w:rsidRPr="00C4438B">
        <w:rPr>
          <w:rFonts w:asciiTheme="minorHAnsi" w:eastAsia="Arial Unicode MS" w:hAnsiTheme="minorHAnsi"/>
          <w:sz w:val="24"/>
          <w:szCs w:val="24"/>
        </w:rPr>
        <w:t xml:space="preserve"> na ravni skupin je izračunan kot tehtano povprečje posamičnih SO</w:t>
      </w:r>
      <w:r w:rsidR="008D6CD6">
        <w:rPr>
          <w:rFonts w:asciiTheme="minorHAnsi" w:eastAsia="Arial Unicode MS" w:hAnsiTheme="minorHAnsi"/>
          <w:sz w:val="24"/>
          <w:szCs w:val="24"/>
        </w:rPr>
        <w:t>C</w:t>
      </w:r>
      <w:r w:rsidR="00BA159E" w:rsidRPr="00C4438B">
        <w:rPr>
          <w:rFonts w:asciiTheme="minorHAnsi" w:eastAsia="Arial Unicode MS" w:hAnsiTheme="minorHAnsi"/>
          <w:sz w:val="24"/>
          <w:szCs w:val="24"/>
        </w:rPr>
        <w:t>, ki pripadajo tej skupini.</w:t>
      </w:r>
      <w:r w:rsidR="009C1DC9">
        <w:rPr>
          <w:rFonts w:asciiTheme="minorHAnsi" w:eastAsia="Arial Unicode MS" w:hAnsiTheme="minorHAnsi"/>
          <w:sz w:val="24"/>
          <w:szCs w:val="24"/>
        </w:rPr>
        <w:t xml:space="preserve"> </w:t>
      </w:r>
      <w:r w:rsidR="009C1DC9" w:rsidRPr="00D36A4E">
        <w:rPr>
          <w:rFonts w:asciiTheme="minorHAnsi" w:eastAsia="Arial Unicode MS" w:hAnsiTheme="minorHAnsi"/>
          <w:sz w:val="24"/>
          <w:szCs w:val="24"/>
        </w:rPr>
        <w:t>SO</w:t>
      </w:r>
      <w:r w:rsidR="008D6CD6">
        <w:rPr>
          <w:rFonts w:asciiTheme="minorHAnsi" w:eastAsia="Arial Unicode MS" w:hAnsiTheme="minorHAnsi"/>
          <w:sz w:val="24"/>
          <w:szCs w:val="24"/>
        </w:rPr>
        <w:t>C</w:t>
      </w:r>
      <w:r w:rsidR="009C1DC9" w:rsidRPr="00D36A4E">
        <w:rPr>
          <w:rFonts w:asciiTheme="minorHAnsi" w:eastAsia="Arial Unicode MS" w:hAnsiTheme="minorHAnsi"/>
          <w:sz w:val="24"/>
          <w:szCs w:val="24"/>
        </w:rPr>
        <w:t xml:space="preserve"> za </w:t>
      </w:r>
      <w:r w:rsidR="002246CB">
        <w:rPr>
          <w:rFonts w:asciiTheme="minorHAnsi" w:eastAsia="Arial Unicode MS" w:hAnsiTheme="minorHAnsi"/>
          <w:sz w:val="24"/>
          <w:szCs w:val="24"/>
        </w:rPr>
        <w:t xml:space="preserve">sveže vrtnine (vključno z melonami) in </w:t>
      </w:r>
      <w:r w:rsidR="009C1DC9" w:rsidRPr="00D36A4E">
        <w:rPr>
          <w:rFonts w:asciiTheme="minorHAnsi" w:eastAsia="Arial Unicode MS" w:hAnsiTheme="minorHAnsi"/>
          <w:sz w:val="24"/>
          <w:szCs w:val="24"/>
        </w:rPr>
        <w:t>jagod</w:t>
      </w:r>
      <w:r w:rsidR="002246CB">
        <w:rPr>
          <w:rFonts w:asciiTheme="minorHAnsi" w:eastAsia="Arial Unicode MS" w:hAnsiTheme="minorHAnsi"/>
          <w:sz w:val="24"/>
          <w:szCs w:val="24"/>
        </w:rPr>
        <w:t xml:space="preserve">ami </w:t>
      </w:r>
      <w:r w:rsidR="009C1DC9" w:rsidRPr="00D36A4E">
        <w:rPr>
          <w:rFonts w:asciiTheme="minorHAnsi" w:eastAsia="Arial Unicode MS" w:hAnsiTheme="minorHAnsi"/>
          <w:sz w:val="24"/>
          <w:szCs w:val="24"/>
        </w:rPr>
        <w:t>na prostem je zaradi pomanjkanja podatkov izračunan samo na ravni te podkategorije.</w:t>
      </w:r>
      <w:r w:rsidR="0069325B">
        <w:rPr>
          <w:rFonts w:asciiTheme="minorHAnsi" w:eastAsia="Arial Unicode MS" w:hAnsiTheme="minorHAnsi"/>
          <w:sz w:val="24"/>
          <w:szCs w:val="24"/>
        </w:rPr>
        <w:t xml:space="preserve"> Prav tako to velja za grozdje in </w:t>
      </w:r>
      <w:r w:rsidR="005F222F">
        <w:rPr>
          <w:rFonts w:asciiTheme="minorHAnsi" w:eastAsia="Arial Unicode MS" w:hAnsiTheme="minorHAnsi"/>
          <w:sz w:val="24"/>
          <w:szCs w:val="24"/>
        </w:rPr>
        <w:t>oljke</w:t>
      </w:r>
      <w:r w:rsidR="0069325B">
        <w:rPr>
          <w:rFonts w:asciiTheme="minorHAnsi" w:eastAsia="Arial Unicode MS" w:hAnsiTheme="minorHAnsi"/>
          <w:sz w:val="24"/>
          <w:szCs w:val="24"/>
        </w:rPr>
        <w:t>.</w:t>
      </w:r>
      <w:r w:rsidR="00421F51">
        <w:rPr>
          <w:rFonts w:asciiTheme="minorHAnsi" w:eastAsia="Arial Unicode MS" w:hAnsiTheme="minorHAnsi"/>
          <w:sz w:val="24"/>
          <w:szCs w:val="24"/>
        </w:rPr>
        <w:t xml:space="preserve"> Proizvodom, za katere se v Sloveniji ne zbira ustreznih podatkov, je dodeljena vrednost 0.</w:t>
      </w:r>
    </w:p>
    <w:p w14:paraId="5F291C04" w14:textId="77777777" w:rsidR="000A059C" w:rsidRPr="00570532" w:rsidRDefault="000A059C" w:rsidP="00DA5E33">
      <w:pPr>
        <w:spacing w:after="120"/>
        <w:jc w:val="both"/>
        <w:rPr>
          <w:rFonts w:asciiTheme="minorHAnsi" w:hAnsiTheme="minorHAnsi" w:cs="Arial"/>
          <w:color w:val="4F81BD" w:themeColor="accent1"/>
          <w:sz w:val="24"/>
          <w:szCs w:val="24"/>
        </w:rPr>
      </w:pPr>
    </w:p>
    <w:p w14:paraId="4724AFED" w14:textId="22028EFD" w:rsidR="00BA159E" w:rsidRPr="00F82D17" w:rsidRDefault="00BA159E" w:rsidP="00DA5E33">
      <w:pPr>
        <w:spacing w:after="120"/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F82D17">
        <w:rPr>
          <w:rFonts w:asciiTheme="minorHAnsi" w:eastAsia="Arial Unicode MS" w:hAnsiTheme="minorHAnsi"/>
          <w:b/>
          <w:sz w:val="24"/>
          <w:szCs w:val="24"/>
        </w:rPr>
        <w:t>Metodologija izračuna SO</w:t>
      </w:r>
      <w:r w:rsidR="008D6CD6">
        <w:rPr>
          <w:rFonts w:asciiTheme="minorHAnsi" w:eastAsia="Arial Unicode MS" w:hAnsiTheme="minorHAnsi"/>
          <w:b/>
          <w:sz w:val="24"/>
          <w:szCs w:val="24"/>
        </w:rPr>
        <w:t>C</w:t>
      </w:r>
    </w:p>
    <w:p w14:paraId="657DF535" w14:textId="7AF4594F" w:rsidR="0045275F" w:rsidRPr="00F82D17" w:rsidRDefault="008133E6" w:rsidP="00DA5E33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F82D17">
        <w:rPr>
          <w:rFonts w:asciiTheme="minorHAnsi" w:eastAsia="Arial Unicode MS" w:hAnsiTheme="minorHAnsi"/>
          <w:sz w:val="24"/>
          <w:szCs w:val="24"/>
        </w:rPr>
        <w:t>Izračuni SO</w:t>
      </w:r>
      <w:r w:rsidR="008D6CD6">
        <w:rPr>
          <w:rFonts w:asciiTheme="minorHAnsi" w:eastAsia="Arial Unicode MS" w:hAnsiTheme="minorHAnsi"/>
          <w:sz w:val="24"/>
          <w:szCs w:val="24"/>
        </w:rPr>
        <w:t>C</w:t>
      </w:r>
      <w:r w:rsidRPr="00F82D17">
        <w:rPr>
          <w:rFonts w:asciiTheme="minorHAnsi" w:eastAsia="Arial Unicode MS" w:hAnsiTheme="minorHAnsi"/>
          <w:sz w:val="24"/>
          <w:szCs w:val="24"/>
        </w:rPr>
        <w:t xml:space="preserve"> so izdelani v skladu z metodologij</w:t>
      </w:r>
      <w:r w:rsidR="0061129D" w:rsidRPr="00F82D17">
        <w:rPr>
          <w:rFonts w:asciiTheme="minorHAnsi" w:eastAsia="Arial Unicode MS" w:hAnsiTheme="minorHAnsi"/>
          <w:sz w:val="24"/>
          <w:szCs w:val="24"/>
        </w:rPr>
        <w:t>o</w:t>
      </w:r>
      <w:r w:rsidRPr="00F82D17">
        <w:rPr>
          <w:rFonts w:asciiTheme="minorHAnsi" w:eastAsia="Arial Unicode MS" w:hAnsiTheme="minorHAnsi"/>
          <w:sz w:val="24"/>
          <w:szCs w:val="24"/>
        </w:rPr>
        <w:t xml:space="preserve"> Eurostat</w:t>
      </w:r>
      <w:r w:rsidR="00150A59">
        <w:rPr>
          <w:rFonts w:asciiTheme="minorHAnsi" w:eastAsia="Arial Unicode MS" w:hAnsiTheme="minorHAnsi"/>
          <w:sz w:val="24"/>
          <w:szCs w:val="24"/>
        </w:rPr>
        <w:t xml:space="preserve"> in</w:t>
      </w:r>
      <w:r w:rsidRPr="00F82D17">
        <w:rPr>
          <w:rFonts w:asciiTheme="minorHAnsi" w:eastAsia="Arial Unicode MS" w:hAnsiTheme="minorHAnsi"/>
          <w:sz w:val="24"/>
          <w:szCs w:val="24"/>
        </w:rPr>
        <w:t xml:space="preserve"> </w:t>
      </w:r>
      <w:r w:rsidR="00150A59">
        <w:rPr>
          <w:rFonts w:asciiTheme="minorHAnsi" w:hAnsiTheme="minorHAnsi" w:cs="Arial"/>
          <w:sz w:val="24"/>
          <w:szCs w:val="24"/>
        </w:rPr>
        <w:t xml:space="preserve">priporočenim postopkom v </w:t>
      </w:r>
      <w:r w:rsidRPr="00F82D17">
        <w:rPr>
          <w:rFonts w:asciiTheme="minorHAnsi" w:hAnsiTheme="minorHAnsi" w:cs="Arial"/>
          <w:sz w:val="24"/>
          <w:szCs w:val="24"/>
        </w:rPr>
        <w:t>Typology Handbook RI</w:t>
      </w:r>
      <w:r w:rsidR="00DD2F74" w:rsidRPr="00F82D17">
        <w:rPr>
          <w:rFonts w:asciiTheme="minorHAnsi" w:hAnsiTheme="minorHAnsi" w:cs="Arial"/>
          <w:sz w:val="24"/>
          <w:szCs w:val="24"/>
        </w:rPr>
        <w:t>/CC 1500 rev. 5, 2020</w:t>
      </w:r>
      <w:r w:rsidR="000C63FC" w:rsidRPr="00F82D17">
        <w:rPr>
          <w:rFonts w:asciiTheme="minorHAnsi" w:hAnsiTheme="minorHAnsi" w:cs="Arial"/>
          <w:sz w:val="24"/>
          <w:szCs w:val="24"/>
        </w:rPr>
        <w:t xml:space="preserve">. </w:t>
      </w:r>
      <w:r w:rsidRPr="00F82D17">
        <w:rPr>
          <w:rFonts w:asciiTheme="minorHAnsi" w:hAnsiTheme="minorHAnsi" w:cs="Arial"/>
          <w:sz w:val="24"/>
          <w:szCs w:val="24"/>
        </w:rPr>
        <w:t>SO</w:t>
      </w:r>
      <w:r w:rsidR="008D6CD6">
        <w:rPr>
          <w:rFonts w:asciiTheme="minorHAnsi" w:hAnsiTheme="minorHAnsi" w:cs="Arial"/>
          <w:sz w:val="24"/>
          <w:szCs w:val="24"/>
        </w:rPr>
        <w:t>C</w:t>
      </w:r>
      <w:r w:rsidRPr="00F82D17">
        <w:rPr>
          <w:rFonts w:asciiTheme="minorHAnsi" w:hAnsiTheme="minorHAnsi" w:cs="Arial"/>
          <w:sz w:val="24"/>
          <w:szCs w:val="24"/>
        </w:rPr>
        <w:t xml:space="preserve"> je izračunan v EUR za vsako leto posebej po metodi neposrednega opazovanja</w:t>
      </w:r>
      <w:r w:rsidR="000C63FC" w:rsidRPr="00F82D17">
        <w:rPr>
          <w:rFonts w:asciiTheme="minorHAnsi" w:hAnsiTheme="minorHAnsi" w:cs="Arial"/>
          <w:sz w:val="24"/>
          <w:szCs w:val="24"/>
        </w:rPr>
        <w:t xml:space="preserve">. Za </w:t>
      </w:r>
      <w:r w:rsidR="00745244" w:rsidRPr="00F82D17">
        <w:rPr>
          <w:rFonts w:asciiTheme="minorHAnsi" w:hAnsiTheme="minorHAnsi" w:cs="Arial"/>
          <w:sz w:val="24"/>
          <w:szCs w:val="24"/>
        </w:rPr>
        <w:t>posamezno</w:t>
      </w:r>
      <w:r w:rsidR="000C63FC" w:rsidRPr="00F82D17">
        <w:rPr>
          <w:rFonts w:asciiTheme="minorHAnsi" w:hAnsiTheme="minorHAnsi" w:cs="Arial"/>
          <w:sz w:val="24"/>
          <w:szCs w:val="24"/>
        </w:rPr>
        <w:t xml:space="preserve"> kategorijo so </w:t>
      </w:r>
      <w:r w:rsidR="00262942" w:rsidRPr="00F82D17">
        <w:rPr>
          <w:rFonts w:asciiTheme="minorHAnsi" w:hAnsiTheme="minorHAnsi" w:cs="Arial"/>
          <w:sz w:val="24"/>
          <w:szCs w:val="24"/>
        </w:rPr>
        <w:t>upoštevane</w:t>
      </w:r>
      <w:r w:rsidR="000C63FC" w:rsidRPr="00F82D17">
        <w:rPr>
          <w:rFonts w:asciiTheme="minorHAnsi" w:hAnsiTheme="minorHAnsi" w:cs="Arial"/>
          <w:sz w:val="24"/>
          <w:szCs w:val="24"/>
        </w:rPr>
        <w:t xml:space="preserve"> tako povprečne količine glavnega in morebitnih stranskih pridelkov na enoto opazovanja, kot tudi cene. </w:t>
      </w:r>
      <w:r w:rsidR="00BF0FD8" w:rsidRPr="00F82D17">
        <w:rPr>
          <w:rFonts w:asciiTheme="minorHAnsi" w:hAnsiTheme="minorHAnsi" w:cs="Arial"/>
          <w:sz w:val="24"/>
          <w:szCs w:val="24"/>
        </w:rPr>
        <w:t>V rastlinski pridelavi je SO</w:t>
      </w:r>
      <w:r w:rsidR="008D6CD6">
        <w:rPr>
          <w:rFonts w:asciiTheme="minorHAnsi" w:hAnsiTheme="minorHAnsi" w:cs="Arial"/>
          <w:sz w:val="24"/>
          <w:szCs w:val="24"/>
        </w:rPr>
        <w:t>C</w:t>
      </w:r>
      <w:r w:rsidR="00BF0FD8" w:rsidRPr="00F82D17">
        <w:rPr>
          <w:rFonts w:asciiTheme="minorHAnsi" w:hAnsiTheme="minorHAnsi" w:cs="Arial"/>
          <w:sz w:val="24"/>
          <w:szCs w:val="24"/>
        </w:rPr>
        <w:t xml:space="preserve"> izračunan kot skupna vrednost vse proizvodnje na enoto, v živinoreji pa kot skupna vrednost proizvodnje, zmanjšana za </w:t>
      </w:r>
      <w:r w:rsidR="00DA5E33" w:rsidRPr="00F82D17">
        <w:rPr>
          <w:rFonts w:asciiTheme="minorHAnsi" w:hAnsiTheme="minorHAnsi" w:cs="Arial"/>
          <w:sz w:val="24"/>
          <w:szCs w:val="24"/>
        </w:rPr>
        <w:t>nadomestno</w:t>
      </w:r>
      <w:r w:rsidR="00BF0FD8" w:rsidRPr="00F82D17">
        <w:rPr>
          <w:rFonts w:asciiTheme="minorHAnsi" w:hAnsiTheme="minorHAnsi" w:cs="Arial"/>
          <w:sz w:val="24"/>
          <w:szCs w:val="24"/>
        </w:rPr>
        <w:t xml:space="preserve"> vrednost </w:t>
      </w:r>
      <w:r w:rsidR="0045275F" w:rsidRPr="00F82D17">
        <w:rPr>
          <w:rFonts w:asciiTheme="minorHAnsi" w:hAnsiTheme="minorHAnsi" w:cs="Arial"/>
          <w:sz w:val="24"/>
          <w:szCs w:val="24"/>
        </w:rPr>
        <w:t>živali</w:t>
      </w:r>
      <w:r w:rsidR="00BF0FD8" w:rsidRPr="00F82D17">
        <w:rPr>
          <w:rFonts w:asciiTheme="minorHAnsi" w:hAnsiTheme="minorHAnsi" w:cs="Arial"/>
          <w:sz w:val="24"/>
          <w:szCs w:val="24"/>
        </w:rPr>
        <w:t xml:space="preserve">. </w:t>
      </w:r>
    </w:p>
    <w:p w14:paraId="01557D15" w14:textId="7EEEF4CD" w:rsidR="00033FA4" w:rsidRPr="00434F68" w:rsidRDefault="00C24CB2" w:rsidP="00DA5E33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434F68">
        <w:rPr>
          <w:rFonts w:asciiTheme="minorHAnsi" w:hAnsiTheme="minorHAnsi" w:cs="Arial"/>
          <w:sz w:val="24"/>
          <w:szCs w:val="24"/>
        </w:rPr>
        <w:t xml:space="preserve">Osnova za izračun povprečnega obsega proizvodnje na enoto opazovane kategorije so </w:t>
      </w:r>
      <w:r w:rsidRPr="00434F68">
        <w:rPr>
          <w:rFonts w:asciiTheme="minorHAnsi" w:eastAsia="Arial Unicode MS" w:hAnsiTheme="minorHAnsi"/>
          <w:sz w:val="24"/>
          <w:szCs w:val="24"/>
        </w:rPr>
        <w:t xml:space="preserve">statistični podatki o obsegu rastlinske pridelave </w:t>
      </w:r>
      <w:r w:rsidR="00DA5E33" w:rsidRPr="00434F68">
        <w:rPr>
          <w:rFonts w:asciiTheme="minorHAnsi" w:eastAsia="Arial Unicode MS" w:hAnsiTheme="minorHAnsi"/>
          <w:sz w:val="24"/>
          <w:szCs w:val="24"/>
        </w:rPr>
        <w:t xml:space="preserve">(površine, pridelki) </w:t>
      </w:r>
      <w:r w:rsidRPr="00434F68">
        <w:rPr>
          <w:rFonts w:asciiTheme="minorHAnsi" w:eastAsia="Arial Unicode MS" w:hAnsiTheme="minorHAnsi"/>
          <w:sz w:val="24"/>
          <w:szCs w:val="24"/>
        </w:rPr>
        <w:t xml:space="preserve">in živinoreje </w:t>
      </w:r>
      <w:r w:rsidR="00DA5E33" w:rsidRPr="00434F68">
        <w:rPr>
          <w:rFonts w:asciiTheme="minorHAnsi" w:eastAsia="Arial Unicode MS" w:hAnsiTheme="minorHAnsi"/>
          <w:sz w:val="24"/>
          <w:szCs w:val="24"/>
        </w:rPr>
        <w:t>(</w:t>
      </w:r>
      <w:r w:rsidR="00DA5E33" w:rsidRPr="00194FA4">
        <w:rPr>
          <w:rFonts w:asciiTheme="minorHAnsi" w:hAnsiTheme="minorHAnsi" w:cs="Arial"/>
          <w:sz w:val="24"/>
          <w:szCs w:val="24"/>
        </w:rPr>
        <w:t>število živali, prirast, zakol, skupna proizvodnja mleka, jajc, volne</w:t>
      </w:r>
      <w:r w:rsidR="00E31416" w:rsidRPr="00194FA4">
        <w:rPr>
          <w:rFonts w:asciiTheme="minorHAnsi" w:hAnsiTheme="minorHAnsi" w:cs="Arial"/>
          <w:sz w:val="24"/>
          <w:szCs w:val="24"/>
        </w:rPr>
        <w:t>,</w:t>
      </w:r>
      <w:r w:rsidR="008D6CD6">
        <w:rPr>
          <w:rFonts w:asciiTheme="minorHAnsi" w:hAnsiTheme="minorHAnsi" w:cs="Arial"/>
          <w:sz w:val="24"/>
          <w:szCs w:val="24"/>
        </w:rPr>
        <w:t>…</w:t>
      </w:r>
      <w:r w:rsidR="00E31416" w:rsidRPr="00194FA4">
        <w:rPr>
          <w:rFonts w:asciiTheme="minorHAnsi" w:hAnsiTheme="minorHAnsi" w:cs="Arial"/>
          <w:sz w:val="24"/>
          <w:szCs w:val="24"/>
        </w:rPr>
        <w:t xml:space="preserve">) </w:t>
      </w:r>
      <w:r w:rsidRPr="00194FA4">
        <w:rPr>
          <w:rFonts w:asciiTheme="minorHAnsi" w:hAnsiTheme="minorHAnsi" w:cs="Arial"/>
          <w:sz w:val="24"/>
          <w:szCs w:val="24"/>
        </w:rPr>
        <w:t>v posameznem letu na najpodrobnejši ravni (vir: SURS)</w:t>
      </w:r>
      <w:r w:rsidRPr="00434F68">
        <w:rPr>
          <w:rFonts w:asciiTheme="minorHAnsi" w:hAnsiTheme="minorHAnsi" w:cs="Arial"/>
          <w:sz w:val="24"/>
          <w:szCs w:val="24"/>
        </w:rPr>
        <w:t xml:space="preserve">. </w:t>
      </w:r>
      <w:r w:rsidR="00033FA4" w:rsidRPr="00434F68">
        <w:rPr>
          <w:rFonts w:asciiTheme="minorHAnsi" w:hAnsiTheme="minorHAnsi" w:cs="Arial"/>
          <w:sz w:val="24"/>
          <w:szCs w:val="24"/>
        </w:rPr>
        <w:t>V živinoreji je povprečni stalež živali izračunan kot povprečje stanja na začetku in koncu leta (izjema: perutninarstvo). Za posamezne podkategorije živali sta povprečni stalež in proizvodnja ocenjena na podlagi t.</w:t>
      </w:r>
      <w:r w:rsidR="008D6CD6">
        <w:rPr>
          <w:rFonts w:asciiTheme="minorHAnsi" w:hAnsiTheme="minorHAnsi" w:cs="Arial"/>
          <w:sz w:val="24"/>
          <w:szCs w:val="24"/>
        </w:rPr>
        <w:t xml:space="preserve"> </w:t>
      </w:r>
      <w:r w:rsidR="00033FA4" w:rsidRPr="00434F68">
        <w:rPr>
          <w:rFonts w:asciiTheme="minorHAnsi" w:hAnsiTheme="minorHAnsi" w:cs="Arial"/>
          <w:sz w:val="24"/>
          <w:szCs w:val="24"/>
        </w:rPr>
        <w:t xml:space="preserve">i. »demografskega modela«. </w:t>
      </w:r>
    </w:p>
    <w:p w14:paraId="47AC4BD8" w14:textId="3F9187AD" w:rsidR="00C24CB2" w:rsidRPr="00434F68" w:rsidRDefault="00C24CB2" w:rsidP="00DA5E33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434F68">
        <w:rPr>
          <w:rFonts w:asciiTheme="minorHAnsi" w:hAnsiTheme="minorHAnsi" w:cs="Arial"/>
          <w:sz w:val="24"/>
          <w:szCs w:val="24"/>
        </w:rPr>
        <w:t>Povprečni pridelki so praviloma ovrednoteni po povprečnih letnih odkupnih cenah po podatkih statistike cen (</w:t>
      </w:r>
      <w:r w:rsidR="000A5FDD">
        <w:rPr>
          <w:rFonts w:asciiTheme="minorHAnsi" w:hAnsiTheme="minorHAnsi" w:cs="Arial"/>
          <w:sz w:val="24"/>
          <w:szCs w:val="24"/>
        </w:rPr>
        <w:t>V</w:t>
      </w:r>
      <w:r w:rsidRPr="00434F68">
        <w:rPr>
          <w:rFonts w:asciiTheme="minorHAnsi" w:hAnsiTheme="minorHAnsi" w:cs="Arial"/>
          <w:sz w:val="24"/>
          <w:szCs w:val="24"/>
        </w:rPr>
        <w:t>ir: SURS). K</w:t>
      </w:r>
      <w:r w:rsidRPr="00434F68">
        <w:rPr>
          <w:rFonts w:asciiTheme="minorHAnsi" w:eastAsia="Arial Unicode MS" w:hAnsiTheme="minorHAnsi" w:cs="Arial"/>
          <w:sz w:val="24"/>
          <w:szCs w:val="24"/>
        </w:rPr>
        <w:t xml:space="preserve">jer </w:t>
      </w:r>
      <w:r w:rsidR="009A7F5F" w:rsidRPr="00434F68">
        <w:rPr>
          <w:rFonts w:asciiTheme="minorHAnsi" w:eastAsia="Arial Unicode MS" w:hAnsiTheme="minorHAnsi" w:cs="Arial"/>
          <w:sz w:val="24"/>
          <w:szCs w:val="24"/>
        </w:rPr>
        <w:t xml:space="preserve">statističnih </w:t>
      </w:r>
      <w:r w:rsidRPr="00434F68">
        <w:rPr>
          <w:rFonts w:asciiTheme="minorHAnsi" w:eastAsia="Arial Unicode MS" w:hAnsiTheme="minorHAnsi" w:cs="Arial"/>
          <w:sz w:val="24"/>
          <w:szCs w:val="24"/>
        </w:rPr>
        <w:t xml:space="preserve">podatkov ni, so bili uporabljeni tudi drugi viri in </w:t>
      </w:r>
      <w:r w:rsidR="00DA5E33" w:rsidRPr="00434F68">
        <w:rPr>
          <w:rFonts w:asciiTheme="minorHAnsi" w:eastAsia="Arial Unicode MS" w:hAnsiTheme="minorHAnsi" w:cs="Arial"/>
          <w:sz w:val="24"/>
          <w:szCs w:val="24"/>
        </w:rPr>
        <w:t>eksper</w:t>
      </w:r>
      <w:r w:rsidR="00E31416" w:rsidRPr="00434F68">
        <w:rPr>
          <w:rFonts w:asciiTheme="minorHAnsi" w:eastAsia="Arial Unicode MS" w:hAnsiTheme="minorHAnsi" w:cs="Arial"/>
          <w:sz w:val="24"/>
          <w:szCs w:val="24"/>
        </w:rPr>
        <w:t>t</w:t>
      </w:r>
      <w:r w:rsidR="00DA5E33" w:rsidRPr="00434F68">
        <w:rPr>
          <w:rFonts w:asciiTheme="minorHAnsi" w:eastAsia="Arial Unicode MS" w:hAnsiTheme="minorHAnsi" w:cs="Arial"/>
          <w:sz w:val="24"/>
          <w:szCs w:val="24"/>
        </w:rPr>
        <w:t>ne ocene</w:t>
      </w:r>
      <w:r w:rsidRPr="00434F68">
        <w:rPr>
          <w:rFonts w:asciiTheme="minorHAnsi" w:eastAsia="Arial Unicode MS" w:hAnsiTheme="minorHAnsi" w:cs="Arial"/>
          <w:sz w:val="24"/>
          <w:szCs w:val="24"/>
        </w:rPr>
        <w:t>.</w:t>
      </w:r>
    </w:p>
    <w:p w14:paraId="37E686AC" w14:textId="1592DC39" w:rsidR="00D36A4E" w:rsidRDefault="00AF431A" w:rsidP="00DA5E33">
      <w:pPr>
        <w:spacing w:after="120"/>
        <w:jc w:val="both"/>
        <w:rPr>
          <w:rFonts w:asciiTheme="minorHAnsi" w:eastAsia="Arial Unicode MS" w:hAnsiTheme="minorHAnsi" w:cs="Arial"/>
          <w:sz w:val="24"/>
          <w:szCs w:val="24"/>
        </w:rPr>
      </w:pPr>
      <w:r w:rsidRPr="00434F68">
        <w:rPr>
          <w:rFonts w:asciiTheme="minorHAnsi" w:hAnsiTheme="minorHAnsi" w:cs="Arial"/>
          <w:sz w:val="24"/>
          <w:szCs w:val="24"/>
        </w:rPr>
        <w:t xml:space="preserve">Za </w:t>
      </w:r>
      <w:r w:rsidR="00434F68" w:rsidRPr="00434F68">
        <w:rPr>
          <w:rFonts w:asciiTheme="minorHAnsi" w:hAnsiTheme="minorHAnsi" w:cs="Arial"/>
          <w:sz w:val="24"/>
          <w:szCs w:val="24"/>
        </w:rPr>
        <w:t>izračun SO</w:t>
      </w:r>
      <w:r w:rsidR="008D6CD6">
        <w:rPr>
          <w:rFonts w:asciiTheme="minorHAnsi" w:hAnsiTheme="minorHAnsi" w:cs="Arial"/>
          <w:sz w:val="24"/>
          <w:szCs w:val="24"/>
        </w:rPr>
        <w:t>C</w:t>
      </w:r>
      <w:r w:rsidR="008B35E8">
        <w:rPr>
          <w:rFonts w:asciiTheme="minorHAnsi" w:hAnsiTheme="minorHAnsi" w:cs="Arial"/>
          <w:sz w:val="24"/>
          <w:szCs w:val="24"/>
        </w:rPr>
        <w:t xml:space="preserve"> </w:t>
      </w:r>
      <w:r w:rsidR="00434F68" w:rsidRPr="00434F68">
        <w:rPr>
          <w:rFonts w:asciiTheme="minorHAnsi" w:hAnsiTheme="minorHAnsi" w:cs="Arial"/>
          <w:sz w:val="24"/>
          <w:szCs w:val="24"/>
        </w:rPr>
        <w:t>2017</w:t>
      </w:r>
      <w:r w:rsidRPr="00434F68">
        <w:rPr>
          <w:rFonts w:asciiTheme="minorHAnsi" w:hAnsiTheme="minorHAnsi" w:cs="Arial"/>
          <w:sz w:val="24"/>
          <w:szCs w:val="24"/>
        </w:rPr>
        <w:t xml:space="preserve"> so bil</w:t>
      </w:r>
      <w:r w:rsidR="00434F68" w:rsidRPr="00434F68">
        <w:rPr>
          <w:rFonts w:asciiTheme="minorHAnsi" w:hAnsiTheme="minorHAnsi" w:cs="Arial"/>
          <w:sz w:val="24"/>
          <w:szCs w:val="24"/>
        </w:rPr>
        <w:t>i, enako kot pri izračunu SO</w:t>
      </w:r>
      <w:r w:rsidR="008D6CD6">
        <w:rPr>
          <w:rFonts w:asciiTheme="minorHAnsi" w:hAnsiTheme="minorHAnsi" w:cs="Arial"/>
          <w:sz w:val="24"/>
          <w:szCs w:val="24"/>
        </w:rPr>
        <w:t>C</w:t>
      </w:r>
      <w:r w:rsidR="008B35E8">
        <w:rPr>
          <w:rFonts w:asciiTheme="minorHAnsi" w:hAnsiTheme="minorHAnsi" w:cs="Arial"/>
          <w:sz w:val="24"/>
          <w:szCs w:val="24"/>
        </w:rPr>
        <w:t xml:space="preserve"> </w:t>
      </w:r>
      <w:r w:rsidR="00434F68" w:rsidRPr="00434F68">
        <w:rPr>
          <w:rFonts w:asciiTheme="minorHAnsi" w:hAnsiTheme="minorHAnsi" w:cs="Arial"/>
          <w:sz w:val="24"/>
          <w:szCs w:val="24"/>
        </w:rPr>
        <w:t>2013, uporabljeni statistični podatki</w:t>
      </w:r>
      <w:r w:rsidRPr="00434F68">
        <w:rPr>
          <w:rFonts w:asciiTheme="minorHAnsi" w:hAnsiTheme="minorHAnsi" w:cs="Arial"/>
          <w:sz w:val="24"/>
          <w:szCs w:val="24"/>
        </w:rPr>
        <w:t xml:space="preserve"> </w:t>
      </w:r>
      <w:r w:rsidR="00434F68" w:rsidRPr="00434F68">
        <w:rPr>
          <w:rFonts w:asciiTheme="minorHAnsi" w:hAnsiTheme="minorHAnsi" w:cs="Arial"/>
          <w:sz w:val="24"/>
          <w:szCs w:val="24"/>
        </w:rPr>
        <w:t>ter nekatere</w:t>
      </w:r>
      <w:r w:rsidR="00D36A4E" w:rsidRPr="00434F68">
        <w:rPr>
          <w:rFonts w:asciiTheme="minorHAnsi" w:hAnsiTheme="minorHAnsi" w:cs="Arial"/>
          <w:sz w:val="24"/>
          <w:szCs w:val="24"/>
        </w:rPr>
        <w:t xml:space="preserve"> </w:t>
      </w:r>
      <w:r w:rsidR="00EE78D9" w:rsidRPr="00434F68">
        <w:rPr>
          <w:rFonts w:asciiTheme="minorHAnsi" w:eastAsia="Arial Unicode MS" w:hAnsiTheme="minorHAnsi" w:cs="Arial"/>
          <w:sz w:val="24"/>
          <w:szCs w:val="24"/>
        </w:rPr>
        <w:t xml:space="preserve">administrativne zbirke podatkov </w:t>
      </w:r>
      <w:r w:rsidR="00EE78D9" w:rsidRPr="00434F68">
        <w:rPr>
          <w:rFonts w:asciiTheme="minorHAnsi" w:hAnsiTheme="minorHAnsi" w:cs="Arial"/>
          <w:sz w:val="24"/>
          <w:szCs w:val="24"/>
        </w:rPr>
        <w:t>(Register kmetijskih gospodarstev, Register pridelovalcev grozdja in vina, Centralna podatkovna zbirka Govedo</w:t>
      </w:r>
      <w:r w:rsidR="00434F68" w:rsidRPr="00434F68">
        <w:rPr>
          <w:rFonts w:asciiTheme="minorHAnsi" w:hAnsiTheme="minorHAnsi" w:cs="Arial"/>
          <w:sz w:val="24"/>
          <w:szCs w:val="24"/>
        </w:rPr>
        <w:t>). Novost pri izračunih SO</w:t>
      </w:r>
      <w:r w:rsidR="008D6CD6">
        <w:rPr>
          <w:rFonts w:asciiTheme="minorHAnsi" w:hAnsiTheme="minorHAnsi" w:cs="Arial"/>
          <w:sz w:val="24"/>
          <w:szCs w:val="24"/>
        </w:rPr>
        <w:t>C</w:t>
      </w:r>
      <w:r w:rsidR="008B35E8">
        <w:rPr>
          <w:rFonts w:asciiTheme="minorHAnsi" w:hAnsiTheme="minorHAnsi" w:cs="Arial"/>
          <w:sz w:val="24"/>
          <w:szCs w:val="24"/>
        </w:rPr>
        <w:t xml:space="preserve"> </w:t>
      </w:r>
      <w:r w:rsidR="00434F68" w:rsidRPr="00434F68">
        <w:rPr>
          <w:rFonts w:asciiTheme="minorHAnsi" w:hAnsiTheme="minorHAnsi" w:cs="Arial"/>
          <w:sz w:val="24"/>
          <w:szCs w:val="24"/>
        </w:rPr>
        <w:t>2017 je pridobitev podatkov Sektorja za identifikacijo in registracijo ter informacijske sisteme s strani Uprave za varno hrano, veterinarstvo in varstvo rastlin.</w:t>
      </w:r>
      <w:r w:rsidRPr="00434F68">
        <w:rPr>
          <w:rFonts w:asciiTheme="minorHAnsi" w:eastAsia="Arial Unicode MS" w:hAnsiTheme="minorHAnsi" w:cs="Arial"/>
          <w:sz w:val="24"/>
          <w:szCs w:val="24"/>
        </w:rPr>
        <w:t xml:space="preserve"> Ob tem smo ponovno preverili </w:t>
      </w:r>
      <w:r w:rsidR="003757D5" w:rsidRPr="00434F68">
        <w:rPr>
          <w:rFonts w:asciiTheme="minorHAnsi" w:eastAsia="Arial Unicode MS" w:hAnsiTheme="minorHAnsi" w:cs="Arial"/>
          <w:sz w:val="24"/>
          <w:szCs w:val="24"/>
        </w:rPr>
        <w:lastRenderedPageBreak/>
        <w:t xml:space="preserve">način </w:t>
      </w:r>
      <w:r w:rsidRPr="00434F68">
        <w:rPr>
          <w:rFonts w:asciiTheme="minorHAnsi" w:eastAsia="Arial Unicode MS" w:hAnsiTheme="minorHAnsi" w:cs="Arial"/>
          <w:sz w:val="24"/>
          <w:szCs w:val="24"/>
        </w:rPr>
        <w:t xml:space="preserve">izračuna </w:t>
      </w:r>
      <w:r w:rsidR="003757D5" w:rsidRPr="00434F68">
        <w:rPr>
          <w:rFonts w:asciiTheme="minorHAnsi" w:eastAsia="Arial Unicode MS" w:hAnsiTheme="minorHAnsi" w:cs="Arial"/>
          <w:sz w:val="24"/>
          <w:szCs w:val="24"/>
        </w:rPr>
        <w:t>SO</w:t>
      </w:r>
      <w:r w:rsidR="008D6CD6">
        <w:rPr>
          <w:rFonts w:asciiTheme="minorHAnsi" w:eastAsia="Arial Unicode MS" w:hAnsiTheme="minorHAnsi" w:cs="Arial"/>
          <w:sz w:val="24"/>
          <w:szCs w:val="24"/>
        </w:rPr>
        <w:t>C</w:t>
      </w:r>
      <w:r w:rsidR="003757D5" w:rsidRPr="00434F68">
        <w:rPr>
          <w:rFonts w:asciiTheme="minorHAnsi" w:eastAsia="Arial Unicode MS" w:hAnsiTheme="minorHAnsi" w:cs="Arial"/>
          <w:sz w:val="24"/>
          <w:szCs w:val="24"/>
        </w:rPr>
        <w:t xml:space="preserve"> pri vseh </w:t>
      </w:r>
      <w:r w:rsidR="00D36A4E" w:rsidRPr="00434F68">
        <w:rPr>
          <w:rFonts w:asciiTheme="minorHAnsi" w:eastAsia="Arial Unicode MS" w:hAnsiTheme="minorHAnsi" w:cs="Arial"/>
          <w:sz w:val="24"/>
          <w:szCs w:val="24"/>
        </w:rPr>
        <w:t>proizvodih in skupinah</w:t>
      </w:r>
      <w:r w:rsidR="003757D5" w:rsidRPr="00434F68">
        <w:rPr>
          <w:rFonts w:asciiTheme="minorHAnsi" w:eastAsia="Arial Unicode MS" w:hAnsiTheme="minorHAnsi" w:cs="Arial"/>
          <w:sz w:val="24"/>
          <w:szCs w:val="24"/>
        </w:rPr>
        <w:t xml:space="preserve"> in </w:t>
      </w:r>
      <w:r w:rsidR="00CF2AC2" w:rsidRPr="00434F68">
        <w:rPr>
          <w:rFonts w:asciiTheme="minorHAnsi" w:eastAsia="Arial Unicode MS" w:hAnsiTheme="minorHAnsi" w:cs="Arial"/>
          <w:sz w:val="24"/>
          <w:szCs w:val="24"/>
        </w:rPr>
        <w:t>ga</w:t>
      </w:r>
      <w:r w:rsidR="003757D5" w:rsidRPr="00434F68">
        <w:rPr>
          <w:rFonts w:asciiTheme="minorHAnsi" w:eastAsia="Arial Unicode MS" w:hAnsiTheme="minorHAnsi" w:cs="Arial"/>
          <w:sz w:val="24"/>
          <w:szCs w:val="24"/>
        </w:rPr>
        <w:t xml:space="preserve"> po potrebi spremenili, dopolnili ali popravili.</w:t>
      </w:r>
      <w:r w:rsidR="002C581F" w:rsidRPr="00434F68">
        <w:rPr>
          <w:rFonts w:asciiTheme="minorHAnsi" w:eastAsia="Arial Unicode MS" w:hAnsiTheme="minorHAnsi" w:cs="Arial"/>
          <w:sz w:val="24"/>
          <w:szCs w:val="24"/>
        </w:rPr>
        <w:t xml:space="preserve"> </w:t>
      </w:r>
    </w:p>
    <w:p w14:paraId="3E17435C" w14:textId="794E439D" w:rsidR="00B73226" w:rsidRPr="00434F68" w:rsidRDefault="00B73226" w:rsidP="00DA5E33">
      <w:pPr>
        <w:spacing w:after="120"/>
        <w:jc w:val="both"/>
        <w:rPr>
          <w:rFonts w:asciiTheme="minorHAnsi" w:eastAsia="Arial Unicode MS" w:hAnsiTheme="minorHAnsi" w:cs="Arial"/>
          <w:sz w:val="24"/>
          <w:szCs w:val="24"/>
        </w:rPr>
      </w:pPr>
      <w:r>
        <w:rPr>
          <w:rFonts w:asciiTheme="minorHAnsi" w:eastAsia="Arial Unicode MS" w:hAnsiTheme="minorHAnsi" w:cs="Arial"/>
          <w:sz w:val="24"/>
          <w:szCs w:val="24"/>
        </w:rPr>
        <w:t xml:space="preserve">Pri SOC koeficientih, kjer </w:t>
      </w:r>
      <w:r w:rsidR="00C92854">
        <w:rPr>
          <w:rFonts w:asciiTheme="minorHAnsi" w:eastAsia="Arial Unicode MS" w:hAnsiTheme="minorHAnsi" w:cs="Arial"/>
          <w:sz w:val="24"/>
          <w:szCs w:val="24"/>
        </w:rPr>
        <w:t>preračuni na enoto proizvoda niso mogoči (nadkategorije oz. skupine, ki vsebujejo več podkategorij), je zaradi posredovanja in strojnega branja podatkov potrebno zapolniti vse celice v</w:t>
      </w:r>
      <w:r w:rsidR="00E668DD">
        <w:rPr>
          <w:rFonts w:asciiTheme="minorHAnsi" w:eastAsia="Arial Unicode MS" w:hAnsiTheme="minorHAnsi" w:cs="Arial"/>
          <w:sz w:val="24"/>
          <w:szCs w:val="24"/>
        </w:rPr>
        <w:t xml:space="preserve"> končni</w:t>
      </w:r>
      <w:r w:rsidR="00C92854">
        <w:rPr>
          <w:rFonts w:asciiTheme="minorHAnsi" w:eastAsia="Arial Unicode MS" w:hAnsiTheme="minorHAnsi" w:cs="Arial"/>
          <w:sz w:val="24"/>
          <w:szCs w:val="24"/>
        </w:rPr>
        <w:t xml:space="preserve"> posredovani datoteki. Tako je količina prirejena po vrednosti, cena pa enaka številu 1. Cene, količine in vrednosti so zaokrožene na dve decimalni mesti.</w:t>
      </w:r>
    </w:p>
    <w:p w14:paraId="21C93453" w14:textId="2CEDF575" w:rsidR="00AF431A" w:rsidRPr="00C4438B" w:rsidRDefault="003757D5" w:rsidP="00DA5E33">
      <w:pPr>
        <w:spacing w:after="120"/>
        <w:jc w:val="both"/>
        <w:rPr>
          <w:rFonts w:asciiTheme="minorHAnsi" w:eastAsia="Arial Unicode MS" w:hAnsiTheme="minorHAnsi" w:cs="Arial"/>
          <w:sz w:val="24"/>
          <w:szCs w:val="24"/>
        </w:rPr>
      </w:pPr>
      <w:r w:rsidRPr="00C4438B">
        <w:rPr>
          <w:rFonts w:asciiTheme="minorHAnsi" w:eastAsia="Arial Unicode MS" w:hAnsiTheme="minorHAnsi" w:cs="Arial"/>
          <w:sz w:val="24"/>
          <w:szCs w:val="24"/>
        </w:rPr>
        <w:t xml:space="preserve">Spremembe v </w:t>
      </w:r>
      <w:r w:rsidR="00C505F6" w:rsidRPr="00C4438B">
        <w:rPr>
          <w:rFonts w:asciiTheme="minorHAnsi" w:eastAsia="Arial Unicode MS" w:hAnsiTheme="minorHAnsi" w:cs="Arial"/>
          <w:sz w:val="24"/>
          <w:szCs w:val="24"/>
        </w:rPr>
        <w:t>načinu izračuna za posamezne pridelke glede na</w:t>
      </w:r>
      <w:r w:rsidR="00C4438B" w:rsidRPr="00C4438B">
        <w:rPr>
          <w:rFonts w:asciiTheme="minorHAnsi" w:eastAsia="Arial Unicode MS" w:hAnsiTheme="minorHAnsi" w:cs="Arial"/>
          <w:sz w:val="24"/>
          <w:szCs w:val="24"/>
        </w:rPr>
        <w:t xml:space="preserve"> SO</w:t>
      </w:r>
      <w:r w:rsidR="008D6CD6">
        <w:rPr>
          <w:rFonts w:asciiTheme="minorHAnsi" w:eastAsia="Arial Unicode MS" w:hAnsiTheme="minorHAnsi" w:cs="Arial"/>
          <w:sz w:val="24"/>
          <w:szCs w:val="24"/>
        </w:rPr>
        <w:t>C</w:t>
      </w:r>
      <w:r w:rsidR="00EA57F4">
        <w:rPr>
          <w:rFonts w:asciiTheme="minorHAnsi" w:eastAsia="Arial Unicode MS" w:hAnsiTheme="minorHAnsi" w:cs="Arial"/>
          <w:sz w:val="24"/>
          <w:szCs w:val="24"/>
        </w:rPr>
        <w:t xml:space="preserve"> </w:t>
      </w:r>
      <w:r w:rsidR="00C4438B" w:rsidRPr="00C4438B">
        <w:rPr>
          <w:rFonts w:asciiTheme="minorHAnsi" w:eastAsia="Arial Unicode MS" w:hAnsiTheme="minorHAnsi" w:cs="Arial"/>
          <w:sz w:val="24"/>
          <w:szCs w:val="24"/>
        </w:rPr>
        <w:t>2013</w:t>
      </w:r>
      <w:r w:rsidRPr="00C4438B">
        <w:rPr>
          <w:rFonts w:asciiTheme="minorHAnsi" w:eastAsia="Arial Unicode MS" w:hAnsiTheme="minorHAnsi" w:cs="Arial"/>
          <w:sz w:val="24"/>
          <w:szCs w:val="24"/>
        </w:rPr>
        <w:t xml:space="preserve"> so podrobneje</w:t>
      </w:r>
      <w:r w:rsidR="00C505F6" w:rsidRPr="00C4438B">
        <w:rPr>
          <w:rFonts w:asciiTheme="minorHAnsi" w:eastAsia="Arial Unicode MS" w:hAnsiTheme="minorHAnsi" w:cs="Arial"/>
          <w:sz w:val="24"/>
          <w:szCs w:val="24"/>
        </w:rPr>
        <w:t xml:space="preserve"> pojasnjene v spodnji preglednici.</w:t>
      </w:r>
    </w:p>
    <w:p w14:paraId="7A36E1CD" w14:textId="77777777" w:rsidR="003242A8" w:rsidRDefault="003242A8" w:rsidP="006D5162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14:paraId="3EE924B3" w14:textId="0B59D583" w:rsidR="00FE6F0D" w:rsidRPr="00C4438B" w:rsidRDefault="00C505F6" w:rsidP="006D5162">
      <w:pPr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  <w:r w:rsidRPr="00C4438B">
        <w:rPr>
          <w:rFonts w:asciiTheme="minorHAnsi" w:hAnsiTheme="minorHAnsi"/>
          <w:b/>
          <w:sz w:val="24"/>
          <w:szCs w:val="24"/>
        </w:rPr>
        <w:t xml:space="preserve">Metodološke posodobitve in dopolnitve </w:t>
      </w:r>
      <w:r w:rsidR="00AE5E7D" w:rsidRPr="00C4438B">
        <w:rPr>
          <w:rFonts w:asciiTheme="minorHAnsi" w:hAnsiTheme="minorHAnsi"/>
          <w:b/>
          <w:sz w:val="24"/>
          <w:szCs w:val="24"/>
        </w:rPr>
        <w:t>izračun</w:t>
      </w:r>
      <w:r w:rsidRPr="00C4438B">
        <w:rPr>
          <w:rFonts w:asciiTheme="minorHAnsi" w:hAnsiTheme="minorHAnsi"/>
          <w:b/>
          <w:sz w:val="24"/>
          <w:szCs w:val="24"/>
        </w:rPr>
        <w:t>ov</w:t>
      </w:r>
      <w:r w:rsidR="00AE5E7D" w:rsidRPr="00C4438B">
        <w:rPr>
          <w:rFonts w:asciiTheme="minorHAnsi" w:hAnsiTheme="minorHAnsi"/>
          <w:b/>
          <w:sz w:val="24"/>
          <w:szCs w:val="24"/>
        </w:rPr>
        <w:t xml:space="preserve"> </w:t>
      </w:r>
      <w:r w:rsidR="00E31416" w:rsidRPr="00C4438B">
        <w:rPr>
          <w:rFonts w:asciiTheme="minorHAnsi" w:hAnsiTheme="minorHAnsi"/>
          <w:b/>
          <w:sz w:val="24"/>
          <w:szCs w:val="24"/>
        </w:rPr>
        <w:t xml:space="preserve">v </w:t>
      </w:r>
      <w:r w:rsidR="00AE5E7D" w:rsidRPr="00C4438B">
        <w:rPr>
          <w:rFonts w:asciiTheme="minorHAnsi" w:hAnsiTheme="minorHAnsi"/>
          <w:b/>
          <w:sz w:val="24"/>
          <w:szCs w:val="24"/>
        </w:rPr>
        <w:t>SO</w:t>
      </w:r>
      <w:r w:rsidR="00B84FAC">
        <w:rPr>
          <w:rFonts w:asciiTheme="minorHAnsi" w:hAnsiTheme="minorHAnsi"/>
          <w:b/>
          <w:sz w:val="24"/>
          <w:szCs w:val="24"/>
        </w:rPr>
        <w:t>C</w:t>
      </w:r>
      <w:r w:rsidR="00EA57F4">
        <w:rPr>
          <w:rFonts w:asciiTheme="minorHAnsi" w:hAnsiTheme="minorHAnsi"/>
          <w:b/>
          <w:sz w:val="24"/>
          <w:szCs w:val="24"/>
        </w:rPr>
        <w:t xml:space="preserve"> </w:t>
      </w:r>
      <w:r w:rsidR="00C4438B" w:rsidRPr="00C4438B">
        <w:rPr>
          <w:rFonts w:asciiTheme="minorHAnsi" w:hAnsiTheme="minorHAnsi"/>
          <w:b/>
          <w:sz w:val="24"/>
          <w:szCs w:val="24"/>
        </w:rPr>
        <w:t>2017</w:t>
      </w:r>
    </w:p>
    <w:tbl>
      <w:tblPr>
        <w:tblStyle w:val="Tabelamre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49"/>
        <w:gridCol w:w="5689"/>
      </w:tblGrid>
      <w:tr w:rsidR="00C4438B" w:rsidRPr="00570532" w14:paraId="62307DDA" w14:textId="77777777" w:rsidTr="008860F7">
        <w:trPr>
          <w:trHeight w:val="227"/>
        </w:trPr>
        <w:tc>
          <w:tcPr>
            <w:tcW w:w="1418" w:type="dxa"/>
            <w:noWrap/>
            <w:hideMark/>
          </w:tcPr>
          <w:p w14:paraId="18C01A80" w14:textId="77777777" w:rsidR="00C4438B" w:rsidRPr="00C4438B" w:rsidRDefault="00C4438B" w:rsidP="00500474">
            <w:pPr>
              <w:rPr>
                <w:rFonts w:asciiTheme="minorHAnsi" w:hAnsiTheme="minorHAnsi" w:cs="Arial"/>
                <w:b/>
              </w:rPr>
            </w:pPr>
            <w:r w:rsidRPr="00C4438B">
              <w:rPr>
                <w:rFonts w:asciiTheme="minorHAnsi" w:hAnsiTheme="minorHAnsi" w:cs="Arial"/>
                <w:b/>
              </w:rPr>
              <w:t>Koda</w:t>
            </w:r>
          </w:p>
        </w:tc>
        <w:tc>
          <w:tcPr>
            <w:tcW w:w="2249" w:type="dxa"/>
            <w:noWrap/>
            <w:hideMark/>
          </w:tcPr>
          <w:p w14:paraId="1CC559AC" w14:textId="77777777" w:rsidR="00C4438B" w:rsidRPr="00C4438B" w:rsidRDefault="00C4438B" w:rsidP="00500474">
            <w:pPr>
              <w:rPr>
                <w:rFonts w:asciiTheme="minorHAnsi" w:hAnsiTheme="minorHAnsi" w:cs="Arial"/>
                <w:b/>
              </w:rPr>
            </w:pPr>
            <w:r w:rsidRPr="00C4438B">
              <w:rPr>
                <w:rFonts w:asciiTheme="minorHAnsi" w:hAnsiTheme="minorHAnsi" w:cs="Arial"/>
                <w:b/>
              </w:rPr>
              <w:t>Opis</w:t>
            </w:r>
          </w:p>
        </w:tc>
        <w:tc>
          <w:tcPr>
            <w:tcW w:w="5689" w:type="dxa"/>
            <w:noWrap/>
            <w:hideMark/>
          </w:tcPr>
          <w:p w14:paraId="5A0DE5AA" w14:textId="5892D35A" w:rsidR="00C4438B" w:rsidRPr="00C4438B" w:rsidRDefault="00C4438B" w:rsidP="00B84FAC">
            <w:pPr>
              <w:rPr>
                <w:rFonts w:asciiTheme="minorHAnsi" w:hAnsiTheme="minorHAnsi" w:cs="Arial"/>
                <w:b/>
              </w:rPr>
            </w:pPr>
            <w:r w:rsidRPr="00C4438B">
              <w:rPr>
                <w:rFonts w:asciiTheme="minorHAnsi" w:hAnsiTheme="minorHAnsi" w:cs="Arial"/>
                <w:b/>
              </w:rPr>
              <w:t>SO</w:t>
            </w:r>
            <w:r w:rsidR="00B84FAC">
              <w:rPr>
                <w:rFonts w:asciiTheme="minorHAnsi" w:hAnsiTheme="minorHAnsi" w:cs="Arial"/>
                <w:b/>
              </w:rPr>
              <w:t>C</w:t>
            </w:r>
            <w:r w:rsidR="00EA57F4">
              <w:rPr>
                <w:rFonts w:asciiTheme="minorHAnsi" w:hAnsiTheme="minorHAnsi" w:cs="Arial"/>
                <w:b/>
              </w:rPr>
              <w:t xml:space="preserve"> </w:t>
            </w:r>
            <w:r w:rsidRPr="00C4438B">
              <w:rPr>
                <w:rFonts w:asciiTheme="minorHAnsi" w:hAnsiTheme="minorHAnsi" w:cs="Arial"/>
                <w:b/>
              </w:rPr>
              <w:t>2017</w:t>
            </w:r>
          </w:p>
        </w:tc>
      </w:tr>
      <w:tr w:rsidR="004529A5" w:rsidRPr="00570532" w14:paraId="2EDD2686" w14:textId="77777777" w:rsidTr="008860F7">
        <w:trPr>
          <w:trHeight w:val="227"/>
        </w:trPr>
        <w:tc>
          <w:tcPr>
            <w:tcW w:w="1418" w:type="dxa"/>
            <w:noWrap/>
          </w:tcPr>
          <w:p w14:paraId="63C43020" w14:textId="0101F433" w:rsidR="004529A5" w:rsidRPr="00F205E6" w:rsidRDefault="004529A5" w:rsidP="00500474">
            <w:pPr>
              <w:rPr>
                <w:rFonts w:asciiTheme="minorHAnsi" w:hAnsiTheme="minorHAnsi" w:cs="Arial"/>
              </w:rPr>
            </w:pPr>
            <w:r w:rsidRPr="00F205E6">
              <w:rPr>
                <w:rFonts w:asciiTheme="minorHAnsi" w:hAnsiTheme="minorHAnsi" w:cs="Arial"/>
              </w:rPr>
              <w:t>SOC_CLND018</w:t>
            </w:r>
          </w:p>
        </w:tc>
        <w:tc>
          <w:tcPr>
            <w:tcW w:w="2249" w:type="dxa"/>
            <w:noWrap/>
          </w:tcPr>
          <w:p w14:paraId="78771829" w14:textId="500AFEE2" w:rsidR="004529A5" w:rsidRPr="00F205E6" w:rsidRDefault="004529A5" w:rsidP="00793756">
            <w:pPr>
              <w:rPr>
                <w:rFonts w:asciiTheme="minorHAnsi" w:hAnsiTheme="minorHAnsi" w:cs="Arial"/>
              </w:rPr>
            </w:pPr>
            <w:r w:rsidRPr="00F205E6">
              <w:rPr>
                <w:rFonts w:asciiTheme="minorHAnsi" w:hAnsiTheme="minorHAnsi" w:cs="Arial"/>
              </w:rPr>
              <w:t>Sladkorna pesa (brez semen</w:t>
            </w:r>
            <w:r w:rsidR="00793756">
              <w:rPr>
                <w:rFonts w:asciiTheme="minorHAnsi" w:hAnsiTheme="minorHAnsi" w:cs="Arial"/>
              </w:rPr>
              <w:t>ske</w:t>
            </w:r>
            <w:r w:rsidRPr="00F205E6">
              <w:rPr>
                <w:rFonts w:asciiTheme="minorHAnsi" w:hAnsiTheme="minorHAnsi" w:cs="Arial"/>
              </w:rPr>
              <w:t>)</w:t>
            </w:r>
          </w:p>
        </w:tc>
        <w:tc>
          <w:tcPr>
            <w:tcW w:w="5689" w:type="dxa"/>
            <w:noWrap/>
          </w:tcPr>
          <w:p w14:paraId="0BE6C340" w14:textId="09AC05F6" w:rsidR="004529A5" w:rsidRPr="00F205E6" w:rsidRDefault="00185507" w:rsidP="00185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Razpoložljivi le p</w:t>
            </w:r>
            <w:r w:rsidR="00F205E6" w:rsidRPr="00F205E6">
              <w:rPr>
                <w:rFonts w:asciiTheme="minorHAnsi" w:hAnsiTheme="minorHAnsi" w:cs="Arial"/>
              </w:rPr>
              <w:t>odatki za leto 2019</w:t>
            </w:r>
          </w:p>
        </w:tc>
      </w:tr>
      <w:tr w:rsidR="00C4438B" w:rsidRPr="00570532" w14:paraId="3A833723" w14:textId="77777777" w:rsidTr="008860F7">
        <w:trPr>
          <w:trHeight w:val="227"/>
        </w:trPr>
        <w:tc>
          <w:tcPr>
            <w:tcW w:w="1418" w:type="dxa"/>
            <w:noWrap/>
          </w:tcPr>
          <w:p w14:paraId="5DFCE6FA" w14:textId="31D88280" w:rsidR="00C4438B" w:rsidRPr="004A5E71" w:rsidRDefault="0058212C" w:rsidP="00500474">
            <w:pPr>
              <w:rPr>
                <w:rFonts w:asciiTheme="minorHAnsi" w:hAnsiTheme="minorHAnsi"/>
              </w:rPr>
            </w:pPr>
            <w:r w:rsidRPr="0058212C">
              <w:rPr>
                <w:rFonts w:asciiTheme="minorHAnsi" w:hAnsiTheme="minorHAnsi"/>
              </w:rPr>
              <w:t>SOC_CLND055</w:t>
            </w:r>
          </w:p>
        </w:tc>
        <w:tc>
          <w:tcPr>
            <w:tcW w:w="2249" w:type="dxa"/>
            <w:noWrap/>
          </w:tcPr>
          <w:p w14:paraId="4A35ED58" w14:textId="7B49F995" w:rsidR="00C4438B" w:rsidRPr="004A5E71" w:rsidRDefault="00BE3C17" w:rsidP="00483607">
            <w:pPr>
              <w:rPr>
                <w:rFonts w:ascii="Calibri" w:hAnsi="Calibri"/>
              </w:rPr>
            </w:pPr>
            <w:r w:rsidRPr="00BE3C17">
              <w:rPr>
                <w:rFonts w:ascii="Calibri" w:hAnsi="Calibri"/>
              </w:rPr>
              <w:t>Sadje, jagodičje in oreški (razen</w:t>
            </w:r>
            <w:r w:rsidR="00716F7E">
              <w:rPr>
                <w:rFonts w:ascii="Calibri" w:hAnsi="Calibri"/>
              </w:rPr>
              <w:t xml:space="preserve"> citrusov</w:t>
            </w:r>
            <w:r w:rsidRPr="00BE3C17">
              <w:rPr>
                <w:rFonts w:ascii="Calibri" w:hAnsi="Calibri"/>
              </w:rPr>
              <w:t>, grozdja in jagod)</w:t>
            </w:r>
          </w:p>
        </w:tc>
        <w:tc>
          <w:tcPr>
            <w:tcW w:w="5689" w:type="dxa"/>
            <w:noWrap/>
          </w:tcPr>
          <w:p w14:paraId="11DF31B9" w14:textId="5DCB5C9A" w:rsidR="00C4438B" w:rsidRPr="004A5E71" w:rsidRDefault="00BE3C17" w:rsidP="002F4F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Natančnejši izračuni SO zaradi pridobljenih podrobnejših podatkov za jagodičje</w:t>
            </w:r>
            <w:r w:rsidR="002F4F7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lupinarje</w:t>
            </w:r>
            <w:r w:rsidR="002F4F7C">
              <w:rPr>
                <w:rFonts w:asciiTheme="minorHAnsi" w:hAnsiTheme="minorHAnsi"/>
              </w:rPr>
              <w:t xml:space="preserve"> in sredozemsko sadje</w:t>
            </w:r>
          </w:p>
        </w:tc>
      </w:tr>
      <w:tr w:rsidR="000A7695" w:rsidRPr="00570532" w14:paraId="6D2FA166" w14:textId="77777777" w:rsidTr="008860F7">
        <w:trPr>
          <w:trHeight w:val="227"/>
        </w:trPr>
        <w:tc>
          <w:tcPr>
            <w:tcW w:w="1418" w:type="dxa"/>
            <w:noWrap/>
          </w:tcPr>
          <w:p w14:paraId="31CCF53A" w14:textId="1D6C9346" w:rsidR="000A7695" w:rsidRPr="0058212C" w:rsidRDefault="000A7695" w:rsidP="000A7695">
            <w:pPr>
              <w:rPr>
                <w:rFonts w:asciiTheme="minorHAnsi" w:hAnsiTheme="minorHAnsi"/>
              </w:rPr>
            </w:pPr>
            <w:r w:rsidRPr="0058212C">
              <w:rPr>
                <w:rFonts w:asciiTheme="minorHAnsi" w:hAnsiTheme="minorHAnsi"/>
              </w:rPr>
              <w:t>SOC_CLND05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249" w:type="dxa"/>
            <w:noWrap/>
          </w:tcPr>
          <w:p w14:paraId="1EE87A61" w14:textId="607BA626" w:rsidR="000A7695" w:rsidRPr="00BE3C17" w:rsidRDefault="000A7695" w:rsidP="004836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Pečkato sadje</w:t>
            </w:r>
          </w:p>
        </w:tc>
        <w:tc>
          <w:tcPr>
            <w:tcW w:w="5689" w:type="dxa"/>
            <w:noWrap/>
          </w:tcPr>
          <w:p w14:paraId="57AB9994" w14:textId="2A9F3583" w:rsidR="000A7695" w:rsidRDefault="00E6315B" w:rsidP="005004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Dodan</w:t>
            </w:r>
            <w:r w:rsidR="001B08FF">
              <w:rPr>
                <w:rFonts w:asciiTheme="minorHAnsi" w:hAnsiTheme="minorHAnsi"/>
              </w:rPr>
              <w:t xml:space="preserve"> nov</w:t>
            </w:r>
            <w:r w:rsidR="000A7695">
              <w:rPr>
                <w:rFonts w:asciiTheme="minorHAnsi" w:hAnsiTheme="minorHAnsi"/>
              </w:rPr>
              <w:t xml:space="preserve"> agregat</w:t>
            </w:r>
          </w:p>
        </w:tc>
      </w:tr>
      <w:tr w:rsidR="000A7695" w:rsidRPr="00570532" w14:paraId="25BEA68A" w14:textId="77777777" w:rsidTr="008860F7">
        <w:trPr>
          <w:trHeight w:val="227"/>
        </w:trPr>
        <w:tc>
          <w:tcPr>
            <w:tcW w:w="1418" w:type="dxa"/>
            <w:noWrap/>
          </w:tcPr>
          <w:p w14:paraId="06217FCA" w14:textId="5B5ED76F" w:rsidR="000A7695" w:rsidRPr="0058212C" w:rsidRDefault="000A7695" w:rsidP="000A7695">
            <w:pPr>
              <w:rPr>
                <w:rFonts w:asciiTheme="minorHAnsi" w:hAnsiTheme="minorHAnsi"/>
              </w:rPr>
            </w:pPr>
            <w:r w:rsidRPr="0058212C">
              <w:rPr>
                <w:rFonts w:asciiTheme="minorHAnsi" w:hAnsiTheme="minorHAnsi"/>
              </w:rPr>
              <w:t>SOC_CLND05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249" w:type="dxa"/>
            <w:noWrap/>
          </w:tcPr>
          <w:p w14:paraId="4E3026DF" w14:textId="02A1DE12" w:rsidR="000A7695" w:rsidRPr="00BE3C17" w:rsidRDefault="000A7695" w:rsidP="004836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Koščičasto sadje</w:t>
            </w:r>
          </w:p>
        </w:tc>
        <w:tc>
          <w:tcPr>
            <w:tcW w:w="5689" w:type="dxa"/>
            <w:noWrap/>
          </w:tcPr>
          <w:p w14:paraId="28502596" w14:textId="38D4B7DC" w:rsidR="000A7695" w:rsidRDefault="001B08FF" w:rsidP="00E63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Dodan nov </w:t>
            </w:r>
            <w:r w:rsidR="000A7695">
              <w:rPr>
                <w:rFonts w:asciiTheme="minorHAnsi" w:hAnsiTheme="minorHAnsi"/>
              </w:rPr>
              <w:t>agregat</w:t>
            </w:r>
          </w:p>
        </w:tc>
      </w:tr>
      <w:tr w:rsidR="000A7695" w:rsidRPr="00570532" w14:paraId="697BBAFE" w14:textId="77777777" w:rsidTr="008860F7">
        <w:trPr>
          <w:trHeight w:val="227"/>
        </w:trPr>
        <w:tc>
          <w:tcPr>
            <w:tcW w:w="1418" w:type="dxa"/>
            <w:noWrap/>
          </w:tcPr>
          <w:p w14:paraId="7F418A70" w14:textId="20FABCCC" w:rsidR="000A7695" w:rsidRPr="0058212C" w:rsidRDefault="000A7695" w:rsidP="00500474">
            <w:pPr>
              <w:rPr>
                <w:rFonts w:asciiTheme="minorHAnsi" w:hAnsiTheme="minorHAnsi"/>
              </w:rPr>
            </w:pPr>
            <w:r w:rsidRPr="0020662C">
              <w:rPr>
                <w:rFonts w:asciiTheme="minorHAnsi" w:hAnsiTheme="minorHAnsi"/>
              </w:rPr>
              <w:t>SOC_CLND058</w:t>
            </w:r>
          </w:p>
        </w:tc>
        <w:tc>
          <w:tcPr>
            <w:tcW w:w="2249" w:type="dxa"/>
            <w:noWrap/>
          </w:tcPr>
          <w:p w14:paraId="1068F0D0" w14:textId="68A524DE" w:rsidR="000A7695" w:rsidRPr="00BE3C17" w:rsidRDefault="000A7695" w:rsidP="0048360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Sadje s subtropskih in tropskih podnebnih območij</w:t>
            </w:r>
          </w:p>
        </w:tc>
        <w:tc>
          <w:tcPr>
            <w:tcW w:w="5689" w:type="dxa"/>
            <w:noWrap/>
          </w:tcPr>
          <w:p w14:paraId="24EB146F" w14:textId="01A091BB" w:rsidR="000A7695" w:rsidRDefault="00E6315B" w:rsidP="00E63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Dodan</w:t>
            </w:r>
            <w:r w:rsidR="001B08FF">
              <w:rPr>
                <w:rFonts w:asciiTheme="minorHAnsi" w:hAnsiTheme="minorHAnsi"/>
              </w:rPr>
              <w:t xml:space="preserve"> nov agregat</w:t>
            </w:r>
            <w:r>
              <w:rPr>
                <w:rFonts w:asciiTheme="minorHAnsi" w:hAnsiTheme="minorHAnsi"/>
              </w:rPr>
              <w:t xml:space="preserve">; </w:t>
            </w:r>
            <w:r w:rsidR="001B08FF">
              <w:rPr>
                <w:rFonts w:ascii="Calibri" w:hAnsi="Calibri"/>
              </w:rPr>
              <w:t>n</w:t>
            </w:r>
            <w:r w:rsidR="000A7695">
              <w:rPr>
                <w:rFonts w:ascii="Calibri" w:hAnsi="Calibri"/>
              </w:rPr>
              <w:t xml:space="preserve">ovi </w:t>
            </w:r>
            <w:r w:rsidR="001B08FF">
              <w:rPr>
                <w:rFonts w:ascii="Calibri" w:hAnsi="Calibri"/>
              </w:rPr>
              <w:t>podatki o površinah in pridelku</w:t>
            </w:r>
            <w:r>
              <w:rPr>
                <w:rFonts w:ascii="Calibri" w:hAnsi="Calibri"/>
              </w:rPr>
              <w:t xml:space="preserve"> (</w:t>
            </w:r>
            <w:r w:rsidR="000A7695">
              <w:rPr>
                <w:rFonts w:ascii="Calibri" w:hAnsi="Calibri"/>
              </w:rPr>
              <w:t>f</w:t>
            </w:r>
            <w:r w:rsidR="001B08FF">
              <w:rPr>
                <w:rFonts w:ascii="Calibri" w:hAnsi="Calibri"/>
              </w:rPr>
              <w:t>ige, aktinidija, kaki</w:t>
            </w:r>
            <w:r>
              <w:rPr>
                <w:rFonts w:ascii="Calibri" w:hAnsi="Calibri"/>
              </w:rPr>
              <w:t>)</w:t>
            </w:r>
          </w:p>
        </w:tc>
      </w:tr>
      <w:tr w:rsidR="000A7695" w:rsidRPr="00570532" w14:paraId="45AF352C" w14:textId="77777777" w:rsidTr="008860F7">
        <w:trPr>
          <w:trHeight w:val="227"/>
        </w:trPr>
        <w:tc>
          <w:tcPr>
            <w:tcW w:w="1418" w:type="dxa"/>
            <w:noWrap/>
          </w:tcPr>
          <w:p w14:paraId="56E704A4" w14:textId="5FE7AB45" w:rsidR="000A7695" w:rsidRPr="004A5E71" w:rsidRDefault="000A7695" w:rsidP="00500474">
            <w:pPr>
              <w:rPr>
                <w:rFonts w:asciiTheme="minorHAnsi" w:hAnsiTheme="minorHAnsi"/>
              </w:rPr>
            </w:pPr>
            <w:r w:rsidRPr="0058212C">
              <w:rPr>
                <w:rFonts w:asciiTheme="minorHAnsi" w:hAnsiTheme="minorHAnsi"/>
              </w:rPr>
              <w:t>SOC_CLND081</w:t>
            </w:r>
          </w:p>
        </w:tc>
        <w:tc>
          <w:tcPr>
            <w:tcW w:w="2249" w:type="dxa"/>
            <w:noWrap/>
          </w:tcPr>
          <w:p w14:paraId="77A9F9FE" w14:textId="2881FEE0" w:rsidR="000A7695" w:rsidRPr="004A5E71" w:rsidRDefault="000A7695" w:rsidP="00500474">
            <w:pPr>
              <w:rPr>
                <w:rFonts w:asciiTheme="minorHAnsi" w:hAnsiTheme="minorHAnsi"/>
              </w:rPr>
            </w:pPr>
            <w:r w:rsidRPr="00BE3C17">
              <w:rPr>
                <w:rFonts w:ascii="Calibri" w:hAnsi="Calibri" w:cs="Arial"/>
                <w:bCs/>
              </w:rPr>
              <w:t>Zelenja</w:t>
            </w:r>
            <w:r>
              <w:rPr>
                <w:rFonts w:ascii="Calibri" w:hAnsi="Calibri" w:cs="Arial"/>
                <w:bCs/>
              </w:rPr>
              <w:t xml:space="preserve">va (vključno z melonami) </w:t>
            </w:r>
            <w:r w:rsidRPr="00BE3C17">
              <w:rPr>
                <w:rFonts w:ascii="Calibri" w:hAnsi="Calibri" w:cs="Arial"/>
                <w:bCs/>
              </w:rPr>
              <w:t>in jagod</w:t>
            </w:r>
            <w:r>
              <w:rPr>
                <w:rFonts w:ascii="Calibri" w:hAnsi="Calibri" w:cs="Arial"/>
                <w:bCs/>
              </w:rPr>
              <w:t>ami v steklenjakih ali pod visoko zaščito</w:t>
            </w:r>
          </w:p>
        </w:tc>
        <w:tc>
          <w:tcPr>
            <w:tcW w:w="5689" w:type="dxa"/>
            <w:noWrap/>
          </w:tcPr>
          <w:p w14:paraId="4EE86D20" w14:textId="7C7902CF" w:rsidR="000A7695" w:rsidRPr="004A5E71" w:rsidRDefault="000A7695" w:rsidP="00577D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Korigirani podatki s strani SURS v letu 2017 za pretekla leta, predvsem za paradižnik v zaščitenem prostoru</w:t>
            </w:r>
          </w:p>
        </w:tc>
      </w:tr>
      <w:tr w:rsidR="000A7695" w:rsidRPr="00570532" w14:paraId="0302BD0B" w14:textId="77777777" w:rsidTr="008860F7">
        <w:trPr>
          <w:trHeight w:val="227"/>
        </w:trPr>
        <w:tc>
          <w:tcPr>
            <w:tcW w:w="1418" w:type="dxa"/>
            <w:noWrap/>
          </w:tcPr>
          <w:p w14:paraId="6D97BCF0" w14:textId="7C4F9F99" w:rsidR="000A7695" w:rsidRPr="004A5E71" w:rsidRDefault="000A7695" w:rsidP="00500474">
            <w:pPr>
              <w:rPr>
                <w:rFonts w:asciiTheme="minorHAnsi" w:hAnsiTheme="minorHAnsi"/>
              </w:rPr>
            </w:pPr>
            <w:r w:rsidRPr="00514C98">
              <w:rPr>
                <w:rFonts w:asciiTheme="minorHAnsi" w:hAnsiTheme="minorHAnsi"/>
              </w:rPr>
              <w:t>SOC_CLVS008</w:t>
            </w:r>
          </w:p>
        </w:tc>
        <w:tc>
          <w:tcPr>
            <w:tcW w:w="2249" w:type="dxa"/>
            <w:noWrap/>
          </w:tcPr>
          <w:p w14:paraId="713828DD" w14:textId="4FB9DAF7" w:rsidR="000A7695" w:rsidRPr="004A5E71" w:rsidRDefault="000A7695" w:rsidP="005004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Krave</w:t>
            </w:r>
          </w:p>
        </w:tc>
        <w:tc>
          <w:tcPr>
            <w:tcW w:w="5689" w:type="dxa"/>
            <w:noWrap/>
          </w:tcPr>
          <w:p w14:paraId="128492DC" w14:textId="6371291F" w:rsidR="000A7695" w:rsidRPr="004A5E71" w:rsidRDefault="000A7695" w:rsidP="008D07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SOC izračunan na ravni skupine krave, prej samo podskupini mlečne krave in ostale krave </w:t>
            </w:r>
          </w:p>
        </w:tc>
      </w:tr>
      <w:tr w:rsidR="000A7695" w:rsidRPr="00570532" w14:paraId="43CEB8FB" w14:textId="77777777" w:rsidTr="008860F7">
        <w:trPr>
          <w:trHeight w:val="227"/>
        </w:trPr>
        <w:tc>
          <w:tcPr>
            <w:tcW w:w="1418" w:type="dxa"/>
            <w:noWrap/>
          </w:tcPr>
          <w:p w14:paraId="1B1B0E8A" w14:textId="3CE4D8D7" w:rsidR="000A7695" w:rsidRPr="004A5E71" w:rsidRDefault="000A7695" w:rsidP="00500474">
            <w:pPr>
              <w:rPr>
                <w:rFonts w:asciiTheme="minorHAnsi" w:hAnsiTheme="minorHAnsi"/>
              </w:rPr>
            </w:pPr>
            <w:r w:rsidRPr="004A5E71">
              <w:rPr>
                <w:rFonts w:asciiTheme="minorHAnsi" w:hAnsiTheme="minorHAnsi"/>
              </w:rPr>
              <w:t>SOC_CLVS030</w:t>
            </w:r>
          </w:p>
        </w:tc>
        <w:tc>
          <w:tcPr>
            <w:tcW w:w="2249" w:type="dxa"/>
            <w:noWrap/>
          </w:tcPr>
          <w:p w14:paraId="780978CF" w14:textId="6E1DCE35" w:rsidR="000A7695" w:rsidRPr="004A5E71" w:rsidRDefault="000A7695" w:rsidP="005004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Čebele</w:t>
            </w:r>
          </w:p>
        </w:tc>
        <w:tc>
          <w:tcPr>
            <w:tcW w:w="5689" w:type="dxa"/>
            <w:noWrap/>
          </w:tcPr>
          <w:p w14:paraId="1E6C8248" w14:textId="637CCA41" w:rsidR="000A7695" w:rsidRPr="00514C98" w:rsidRDefault="000A7695" w:rsidP="00194FA4">
            <w:pPr>
              <w:rPr>
                <w:rFonts w:asciiTheme="minorHAnsi" w:hAnsiTheme="minorHAnsi"/>
              </w:rPr>
            </w:pPr>
            <w:r w:rsidRPr="00514C98">
              <w:rPr>
                <w:rFonts w:asciiTheme="minorHAnsi" w:hAnsiTheme="minorHAnsi"/>
              </w:rPr>
              <w:t>Izračuni SO</w:t>
            </w:r>
            <w:r>
              <w:rPr>
                <w:rFonts w:asciiTheme="minorHAnsi" w:hAnsiTheme="minorHAnsi"/>
              </w:rPr>
              <w:t>C</w:t>
            </w:r>
            <w:r w:rsidRPr="00514C98">
              <w:rPr>
                <w:rFonts w:asciiTheme="minorHAnsi" w:hAnsiTheme="minorHAnsi"/>
              </w:rPr>
              <w:t xml:space="preserve"> na podlagi na novo pridobljenih</w:t>
            </w:r>
            <w:r>
              <w:rPr>
                <w:rFonts w:asciiTheme="minorHAnsi" w:hAnsiTheme="minorHAnsi"/>
              </w:rPr>
              <w:t xml:space="preserve"> podrobnejših</w:t>
            </w:r>
            <w:r w:rsidRPr="00514C98">
              <w:rPr>
                <w:rFonts w:asciiTheme="minorHAnsi" w:hAnsiTheme="minorHAnsi"/>
              </w:rPr>
              <w:t xml:space="preserve"> podatkov iz administrativnih virov </w:t>
            </w:r>
            <w:r>
              <w:rPr>
                <w:rFonts w:asciiTheme="minorHAnsi" w:hAnsiTheme="minorHAnsi"/>
              </w:rPr>
              <w:t xml:space="preserve">o številu čebeljih družin </w:t>
            </w:r>
            <w:r w:rsidRPr="00514C98">
              <w:rPr>
                <w:rFonts w:asciiTheme="minorHAnsi" w:hAnsiTheme="minorHAnsi"/>
              </w:rPr>
              <w:t>(Sektor za identifikacijo in registracijo ter informacijske sisteme</w:t>
            </w:r>
            <w:r>
              <w:rPr>
                <w:rFonts w:asciiTheme="minorHAnsi" w:hAnsiTheme="minorHAnsi"/>
              </w:rPr>
              <w:t>, Urad za varno hrano, veterinarstvo in varstvo rastlin)</w:t>
            </w:r>
          </w:p>
        </w:tc>
      </w:tr>
    </w:tbl>
    <w:p w14:paraId="39E7BFDF" w14:textId="599DE9B3" w:rsidR="00D16EA9" w:rsidRDefault="00D16EA9" w:rsidP="00F94D37">
      <w:pPr>
        <w:spacing w:after="120"/>
        <w:jc w:val="both"/>
        <w:rPr>
          <w:rFonts w:asciiTheme="minorHAnsi" w:hAnsiTheme="minorHAnsi"/>
          <w:color w:val="4F81BD" w:themeColor="accent1"/>
          <w:sz w:val="24"/>
          <w:szCs w:val="24"/>
        </w:rPr>
      </w:pPr>
    </w:p>
    <w:p w14:paraId="6CA6B880" w14:textId="152E632C" w:rsidR="00483607" w:rsidRDefault="00483607" w:rsidP="00483607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2F396F">
        <w:rPr>
          <w:rFonts w:asciiTheme="minorHAnsi" w:hAnsiTheme="minorHAnsi"/>
          <w:sz w:val="24"/>
          <w:szCs w:val="24"/>
        </w:rPr>
        <w:t>Razlike v SO koeficientih zaradi metodoloških posodobitev in dopolnitev izračunov pri večini proizvodov niso velike</w:t>
      </w:r>
      <w:r w:rsidRPr="00570532">
        <w:rPr>
          <w:rFonts w:asciiTheme="minorHAnsi" w:hAnsiTheme="minorHAnsi"/>
          <w:color w:val="4F81BD" w:themeColor="accent1"/>
          <w:sz w:val="24"/>
          <w:szCs w:val="24"/>
        </w:rPr>
        <w:t xml:space="preserve">. </w:t>
      </w:r>
      <w:r w:rsidRPr="00B85F9F">
        <w:rPr>
          <w:rFonts w:asciiTheme="minorHAnsi" w:hAnsiTheme="minorHAnsi"/>
          <w:sz w:val="24"/>
          <w:szCs w:val="24"/>
        </w:rPr>
        <w:t>Pri nekaterih skupinah pridelkov so izračunani SO koefi</w:t>
      </w:r>
      <w:bookmarkStart w:id="0" w:name="_GoBack"/>
      <w:bookmarkEnd w:id="0"/>
      <w:r w:rsidRPr="00B85F9F">
        <w:rPr>
          <w:rFonts w:asciiTheme="minorHAnsi" w:hAnsiTheme="minorHAnsi"/>
          <w:sz w:val="24"/>
          <w:szCs w:val="24"/>
        </w:rPr>
        <w:t xml:space="preserve">cienti kljub vsem naporom v smeri izboljšanja ocen, nezanesljivi. To velja zlasti za zelišča, dišavnice in zdravilne rastline, cvetje in okrasne rastline, drevesnice, gobe ter </w:t>
      </w:r>
      <w:r w:rsidRPr="00B85F9F">
        <w:rPr>
          <w:rFonts w:asciiTheme="minorHAnsi" w:eastAsia="Arial Unicode MS" w:hAnsiTheme="minorHAnsi"/>
          <w:sz w:val="24"/>
          <w:szCs w:val="24"/>
        </w:rPr>
        <w:t xml:space="preserve">kunce, </w:t>
      </w:r>
      <w:r w:rsidRPr="00B85F9F">
        <w:rPr>
          <w:rFonts w:asciiTheme="minorHAnsi" w:hAnsiTheme="minorHAnsi"/>
          <w:sz w:val="24"/>
          <w:szCs w:val="24"/>
        </w:rPr>
        <w:t>kjer so podatki o proizvodnji in cenah še vedno zelo pomanjkljivi ali nezanesljivi.</w:t>
      </w:r>
    </w:p>
    <w:p w14:paraId="2F9F5AAA" w14:textId="0A896691" w:rsidR="00E63695" w:rsidRPr="00570532" w:rsidRDefault="00E63695" w:rsidP="00483607">
      <w:pPr>
        <w:spacing w:after="120"/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Podkategorijam pri perutnini (purani, race, gosi, noji, ostala majhna perutnina…) je zaradi pomanjkljivih podatkov pripisan</w:t>
      </w:r>
      <w:r w:rsidR="00B73226">
        <w:rPr>
          <w:rFonts w:asciiTheme="minorHAnsi" w:hAnsiTheme="minorHAnsi"/>
          <w:sz w:val="24"/>
          <w:szCs w:val="24"/>
        </w:rPr>
        <w:t xml:space="preserve"> kar</w:t>
      </w:r>
      <w:r>
        <w:rPr>
          <w:rFonts w:asciiTheme="minorHAnsi" w:hAnsiTheme="minorHAnsi"/>
          <w:sz w:val="24"/>
          <w:szCs w:val="24"/>
        </w:rPr>
        <w:t xml:space="preserve"> izračunan SOC koeficient</w:t>
      </w:r>
      <w:r w:rsidR="00B73226">
        <w:rPr>
          <w:rFonts w:asciiTheme="minorHAnsi" w:hAnsiTheme="minorHAnsi"/>
          <w:sz w:val="24"/>
          <w:szCs w:val="24"/>
        </w:rPr>
        <w:t xml:space="preserve"> kategorije</w:t>
      </w:r>
      <w:r>
        <w:rPr>
          <w:rFonts w:asciiTheme="minorHAnsi" w:hAnsiTheme="minorHAnsi"/>
          <w:sz w:val="24"/>
          <w:szCs w:val="24"/>
        </w:rPr>
        <w:t xml:space="preserve"> </w:t>
      </w:r>
      <w:r w:rsidR="00B73226">
        <w:rPr>
          <w:rFonts w:asciiTheme="minorHAnsi" w:hAnsiTheme="minorHAnsi"/>
          <w:sz w:val="24"/>
          <w:szCs w:val="24"/>
        </w:rPr>
        <w:t>druga</w:t>
      </w:r>
      <w:r>
        <w:rPr>
          <w:rFonts w:asciiTheme="minorHAnsi" w:hAnsiTheme="minorHAnsi"/>
          <w:sz w:val="24"/>
          <w:szCs w:val="24"/>
        </w:rPr>
        <w:t xml:space="preserve"> perutnina</w:t>
      </w:r>
      <w:r w:rsidR="00B73226">
        <w:rPr>
          <w:rFonts w:asciiTheme="minorHAnsi" w:hAnsiTheme="minorHAnsi"/>
          <w:sz w:val="24"/>
          <w:szCs w:val="24"/>
        </w:rPr>
        <w:t xml:space="preserve"> skupaj</w:t>
      </w:r>
      <w:r>
        <w:rPr>
          <w:rFonts w:asciiTheme="minorHAnsi" w:hAnsiTheme="minorHAnsi"/>
          <w:sz w:val="24"/>
          <w:szCs w:val="24"/>
        </w:rPr>
        <w:t xml:space="preserve"> (</w:t>
      </w:r>
      <w:r w:rsidRPr="00E63695">
        <w:rPr>
          <w:rFonts w:asciiTheme="minorHAnsi" w:hAnsiTheme="minorHAnsi"/>
          <w:sz w:val="24"/>
          <w:szCs w:val="24"/>
        </w:rPr>
        <w:t>SOC_CLVS023</w:t>
      </w:r>
      <w:r>
        <w:rPr>
          <w:rFonts w:asciiTheme="minorHAnsi" w:hAnsiTheme="minorHAnsi"/>
          <w:sz w:val="24"/>
          <w:szCs w:val="24"/>
        </w:rPr>
        <w:t xml:space="preserve">). </w:t>
      </w:r>
    </w:p>
    <w:p w14:paraId="1A1B64C0" w14:textId="5F5E017C" w:rsidR="00483607" w:rsidRDefault="00483607" w:rsidP="00F94D37">
      <w:pPr>
        <w:spacing w:after="120"/>
        <w:jc w:val="both"/>
        <w:rPr>
          <w:rFonts w:asciiTheme="minorHAnsi" w:hAnsiTheme="minorHAnsi"/>
          <w:color w:val="4F81BD" w:themeColor="accent1"/>
          <w:sz w:val="24"/>
          <w:szCs w:val="24"/>
        </w:rPr>
      </w:pPr>
    </w:p>
    <w:p w14:paraId="346BD76D" w14:textId="5272A69E" w:rsidR="00C92854" w:rsidRDefault="00C92854" w:rsidP="00F94D37">
      <w:pPr>
        <w:spacing w:after="120"/>
        <w:jc w:val="both"/>
        <w:rPr>
          <w:rFonts w:asciiTheme="minorHAnsi" w:hAnsiTheme="minorHAnsi"/>
          <w:color w:val="4F81BD" w:themeColor="accent1"/>
          <w:sz w:val="24"/>
          <w:szCs w:val="24"/>
        </w:rPr>
      </w:pPr>
    </w:p>
    <w:p w14:paraId="136EE892" w14:textId="77777777" w:rsidR="00C92854" w:rsidRPr="00570532" w:rsidRDefault="00C92854" w:rsidP="00F94D37">
      <w:pPr>
        <w:spacing w:after="120"/>
        <w:jc w:val="both"/>
        <w:rPr>
          <w:rFonts w:asciiTheme="minorHAnsi" w:hAnsiTheme="minorHAnsi"/>
          <w:color w:val="4F81BD" w:themeColor="accent1"/>
          <w:sz w:val="24"/>
          <w:szCs w:val="24"/>
        </w:rPr>
      </w:pPr>
    </w:p>
    <w:p w14:paraId="22125E0F" w14:textId="52F37438" w:rsidR="00EB6B96" w:rsidRPr="00C4438B" w:rsidRDefault="00EB6B96" w:rsidP="00EB6B96">
      <w:pPr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  <w:r w:rsidRPr="002677C8">
        <w:rPr>
          <w:rFonts w:asciiTheme="minorHAnsi" w:hAnsiTheme="minorHAnsi"/>
          <w:b/>
          <w:sz w:val="24"/>
          <w:szCs w:val="24"/>
        </w:rPr>
        <w:t>Pojasnitev odstopanj v SO</w:t>
      </w:r>
      <w:r w:rsidR="001F1400" w:rsidRPr="002677C8">
        <w:rPr>
          <w:rFonts w:asciiTheme="minorHAnsi" w:hAnsiTheme="minorHAnsi"/>
          <w:b/>
          <w:sz w:val="24"/>
          <w:szCs w:val="24"/>
        </w:rPr>
        <w:t xml:space="preserve">C </w:t>
      </w:r>
      <w:r w:rsidRPr="002677C8">
        <w:rPr>
          <w:rFonts w:asciiTheme="minorHAnsi" w:hAnsiTheme="minorHAnsi"/>
          <w:b/>
          <w:sz w:val="24"/>
          <w:szCs w:val="24"/>
        </w:rPr>
        <w:t>2017</w:t>
      </w:r>
    </w:p>
    <w:tbl>
      <w:tblPr>
        <w:tblStyle w:val="Tabelamre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35"/>
        <w:gridCol w:w="5420"/>
      </w:tblGrid>
      <w:tr w:rsidR="00EB6B96" w:rsidRPr="00570532" w14:paraId="7180D0E9" w14:textId="77777777" w:rsidTr="008B66C3">
        <w:trPr>
          <w:cantSplit/>
          <w:trHeight w:val="227"/>
          <w:tblHeader/>
        </w:trPr>
        <w:tc>
          <w:tcPr>
            <w:tcW w:w="1701" w:type="dxa"/>
            <w:noWrap/>
            <w:hideMark/>
          </w:tcPr>
          <w:p w14:paraId="35AF30D4" w14:textId="77777777" w:rsidR="00EB6B96" w:rsidRPr="00483607" w:rsidRDefault="00EB6B96" w:rsidP="00447693">
            <w:pPr>
              <w:rPr>
                <w:rFonts w:asciiTheme="minorHAnsi" w:hAnsiTheme="minorHAnsi" w:cs="Arial"/>
                <w:b/>
              </w:rPr>
            </w:pPr>
            <w:r w:rsidRPr="00483607">
              <w:rPr>
                <w:rFonts w:asciiTheme="minorHAnsi" w:hAnsiTheme="minorHAnsi" w:cs="Arial"/>
                <w:b/>
              </w:rPr>
              <w:t>Koda</w:t>
            </w:r>
          </w:p>
        </w:tc>
        <w:tc>
          <w:tcPr>
            <w:tcW w:w="2235" w:type="dxa"/>
            <w:noWrap/>
            <w:hideMark/>
          </w:tcPr>
          <w:p w14:paraId="1CF10484" w14:textId="77777777" w:rsidR="00EB6B96" w:rsidRPr="008C51DF" w:rsidRDefault="00EB6B96" w:rsidP="00447693">
            <w:pPr>
              <w:rPr>
                <w:rFonts w:asciiTheme="minorHAnsi" w:hAnsiTheme="minorHAnsi" w:cs="Arial"/>
                <w:b/>
              </w:rPr>
            </w:pPr>
            <w:r w:rsidRPr="008C51DF">
              <w:rPr>
                <w:rFonts w:asciiTheme="minorHAnsi" w:hAnsiTheme="minorHAnsi" w:cs="Arial"/>
                <w:b/>
              </w:rPr>
              <w:t>Opis</w:t>
            </w:r>
          </w:p>
        </w:tc>
        <w:tc>
          <w:tcPr>
            <w:tcW w:w="5420" w:type="dxa"/>
            <w:noWrap/>
            <w:hideMark/>
          </w:tcPr>
          <w:p w14:paraId="65470B13" w14:textId="3DED89E5" w:rsidR="00EB6B96" w:rsidRPr="002246CB" w:rsidRDefault="00EB6B96" w:rsidP="00B84FAC">
            <w:pPr>
              <w:rPr>
                <w:rFonts w:asciiTheme="minorHAnsi" w:hAnsiTheme="minorHAnsi" w:cs="Arial"/>
                <w:b/>
              </w:rPr>
            </w:pPr>
            <w:r w:rsidRPr="002246CB">
              <w:rPr>
                <w:rFonts w:asciiTheme="minorHAnsi" w:hAnsiTheme="minorHAnsi" w:cs="Arial"/>
                <w:b/>
              </w:rPr>
              <w:t>SO</w:t>
            </w:r>
            <w:r w:rsidR="00B84FAC" w:rsidRPr="002246CB">
              <w:rPr>
                <w:rFonts w:asciiTheme="minorHAnsi" w:hAnsiTheme="minorHAnsi" w:cs="Arial"/>
                <w:b/>
              </w:rPr>
              <w:t>C</w:t>
            </w:r>
            <w:r w:rsidR="00EA57F4" w:rsidRPr="002246CB">
              <w:rPr>
                <w:rFonts w:asciiTheme="minorHAnsi" w:hAnsiTheme="minorHAnsi" w:cs="Arial"/>
                <w:b/>
              </w:rPr>
              <w:t xml:space="preserve"> </w:t>
            </w:r>
            <w:r w:rsidRPr="002246CB">
              <w:rPr>
                <w:rFonts w:asciiTheme="minorHAnsi" w:hAnsiTheme="minorHAnsi" w:cs="Arial"/>
                <w:b/>
              </w:rPr>
              <w:t>2017</w:t>
            </w:r>
          </w:p>
        </w:tc>
      </w:tr>
      <w:tr w:rsidR="00EB6B96" w:rsidRPr="00570532" w14:paraId="1A968A0C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75DB61E5" w14:textId="71B5A22A" w:rsidR="00EB6B96" w:rsidRPr="00483607" w:rsidRDefault="00EB6B96" w:rsidP="00EB6B96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SOC_CLND015</w:t>
            </w:r>
          </w:p>
        </w:tc>
        <w:tc>
          <w:tcPr>
            <w:tcW w:w="2235" w:type="dxa"/>
            <w:noWrap/>
          </w:tcPr>
          <w:p w14:paraId="7C4773B7" w14:textId="5F530C5F" w:rsidR="00EB6B96" w:rsidRPr="002677C8" w:rsidRDefault="00716F7E" w:rsidP="00483607">
            <w:pPr>
              <w:rPr>
                <w:rFonts w:asciiTheme="minorHAnsi" w:hAnsiTheme="minorHAnsi"/>
              </w:rPr>
            </w:pPr>
            <w:r w:rsidRPr="002677C8">
              <w:rPr>
                <w:rFonts w:asciiTheme="minorHAnsi" w:hAnsiTheme="minorHAnsi"/>
              </w:rPr>
              <w:t>Njivski grah in f</w:t>
            </w:r>
            <w:r w:rsidR="00EB6B96" w:rsidRPr="002677C8">
              <w:rPr>
                <w:rFonts w:asciiTheme="minorHAnsi" w:hAnsiTheme="minorHAnsi"/>
              </w:rPr>
              <w:t>ižol</w:t>
            </w:r>
          </w:p>
        </w:tc>
        <w:tc>
          <w:tcPr>
            <w:tcW w:w="5420" w:type="dxa"/>
            <w:noWrap/>
          </w:tcPr>
          <w:p w14:paraId="5C2F387A" w14:textId="67923C01" w:rsidR="00EB6B96" w:rsidRPr="008C51DF" w:rsidRDefault="00EB6B96" w:rsidP="008D074B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Povečana pridelava fižola v letih 2015</w:t>
            </w:r>
            <w:r w:rsidR="008D074B" w:rsidRPr="00483607">
              <w:rPr>
                <w:rFonts w:asciiTheme="minorHAnsi" w:hAnsiTheme="minorHAnsi"/>
              </w:rPr>
              <w:t>–</w:t>
            </w:r>
            <w:r w:rsidRPr="00483607">
              <w:rPr>
                <w:rFonts w:asciiTheme="minorHAnsi" w:hAnsiTheme="minorHAnsi"/>
              </w:rPr>
              <w:t>2019 z večjimi hektarskimi pridelki</w:t>
            </w:r>
          </w:p>
        </w:tc>
      </w:tr>
      <w:tr w:rsidR="00EB6B96" w:rsidRPr="00570532" w14:paraId="61EE9120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1C3AAD27" w14:textId="79F95117" w:rsidR="00EB6B96" w:rsidRPr="00483607" w:rsidRDefault="00EB6B96" w:rsidP="00447693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SOC_CLND033</w:t>
            </w:r>
          </w:p>
        </w:tc>
        <w:tc>
          <w:tcPr>
            <w:tcW w:w="2235" w:type="dxa"/>
            <w:noWrap/>
          </w:tcPr>
          <w:p w14:paraId="418B1163" w14:textId="6D267EC3" w:rsidR="00EB6B96" w:rsidRPr="008C51DF" w:rsidRDefault="00EB6B96" w:rsidP="00447693">
            <w:pPr>
              <w:rPr>
                <w:rFonts w:asciiTheme="minorHAnsi" w:hAnsiTheme="minorHAnsi"/>
              </w:rPr>
            </w:pPr>
            <w:r w:rsidRPr="008C51DF">
              <w:rPr>
                <w:rFonts w:asciiTheme="minorHAnsi" w:hAnsiTheme="minorHAnsi"/>
              </w:rPr>
              <w:t>Hmelj</w:t>
            </w:r>
          </w:p>
        </w:tc>
        <w:tc>
          <w:tcPr>
            <w:tcW w:w="5420" w:type="dxa"/>
            <w:noWrap/>
          </w:tcPr>
          <w:p w14:paraId="0F26E367" w14:textId="51D9B5CB" w:rsidR="00EB6B96" w:rsidRPr="008933F5" w:rsidRDefault="00EB6B96" w:rsidP="008B35E8">
            <w:pPr>
              <w:rPr>
                <w:rFonts w:asciiTheme="minorHAnsi" w:hAnsiTheme="minorHAnsi"/>
              </w:rPr>
            </w:pPr>
            <w:r w:rsidRPr="008933F5">
              <w:rPr>
                <w:rFonts w:asciiTheme="minorHAnsi" w:hAnsiTheme="minorHAnsi"/>
              </w:rPr>
              <w:t>V prejšnjem obdobju (SO</w:t>
            </w:r>
            <w:r w:rsidR="000B0F2B" w:rsidRPr="008933F5">
              <w:rPr>
                <w:rFonts w:asciiTheme="minorHAnsi" w:hAnsiTheme="minorHAnsi"/>
              </w:rPr>
              <w:t xml:space="preserve">C </w:t>
            </w:r>
            <w:r w:rsidRPr="008933F5">
              <w:rPr>
                <w:rFonts w:asciiTheme="minorHAnsi" w:hAnsiTheme="minorHAnsi"/>
              </w:rPr>
              <w:t xml:space="preserve">2013) </w:t>
            </w:r>
            <w:r w:rsidR="000B0F2B" w:rsidRPr="008933F5">
              <w:rPr>
                <w:rFonts w:asciiTheme="minorHAnsi" w:hAnsiTheme="minorHAnsi"/>
              </w:rPr>
              <w:t xml:space="preserve">je bilo hmeljarstvo </w:t>
            </w:r>
            <w:r w:rsidRPr="008933F5">
              <w:rPr>
                <w:rFonts w:asciiTheme="minorHAnsi" w:hAnsiTheme="minorHAnsi"/>
              </w:rPr>
              <w:t xml:space="preserve">v </w:t>
            </w:r>
            <w:r w:rsidR="00D233D2">
              <w:rPr>
                <w:rFonts w:asciiTheme="minorHAnsi" w:hAnsiTheme="minorHAnsi"/>
              </w:rPr>
              <w:t xml:space="preserve">gospodarski </w:t>
            </w:r>
            <w:r w:rsidRPr="008933F5">
              <w:rPr>
                <w:rFonts w:asciiTheme="minorHAnsi" w:hAnsiTheme="minorHAnsi"/>
              </w:rPr>
              <w:t>krizi, odkupne cene</w:t>
            </w:r>
            <w:r w:rsidR="000B0F2B" w:rsidRPr="008933F5">
              <w:rPr>
                <w:rFonts w:asciiTheme="minorHAnsi" w:hAnsiTheme="minorHAnsi"/>
              </w:rPr>
              <w:t xml:space="preserve"> v obdobju 2015–2019 </w:t>
            </w:r>
            <w:r w:rsidR="009617E7">
              <w:rPr>
                <w:rFonts w:asciiTheme="minorHAnsi" w:hAnsiTheme="minorHAnsi"/>
              </w:rPr>
              <w:t xml:space="preserve">so </w:t>
            </w:r>
            <w:r w:rsidR="000B0F2B" w:rsidRPr="008933F5">
              <w:rPr>
                <w:rFonts w:asciiTheme="minorHAnsi" w:hAnsiTheme="minorHAnsi"/>
              </w:rPr>
              <w:t>pomembno višje</w:t>
            </w:r>
          </w:p>
        </w:tc>
      </w:tr>
      <w:tr w:rsidR="00EB6B96" w:rsidRPr="00570532" w14:paraId="33A8A77C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184266FF" w14:textId="64120701" w:rsidR="00EB6B96" w:rsidRPr="00483607" w:rsidRDefault="00EB6B96" w:rsidP="00447693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SOC_CLND043</w:t>
            </w:r>
          </w:p>
        </w:tc>
        <w:tc>
          <w:tcPr>
            <w:tcW w:w="2235" w:type="dxa"/>
            <w:noWrap/>
          </w:tcPr>
          <w:p w14:paraId="46760D78" w14:textId="0E8A3789" w:rsidR="00EB6B96" w:rsidRPr="00281082" w:rsidRDefault="00EB6B96" w:rsidP="00483607">
            <w:pPr>
              <w:rPr>
                <w:rFonts w:asciiTheme="minorHAnsi" w:hAnsiTheme="minorHAnsi"/>
              </w:rPr>
            </w:pPr>
            <w:r w:rsidRPr="008C51DF">
              <w:rPr>
                <w:rFonts w:asciiTheme="minorHAnsi" w:hAnsiTheme="minorHAnsi"/>
              </w:rPr>
              <w:t>Svež</w:t>
            </w:r>
            <w:r w:rsidR="00716F7E" w:rsidRPr="008C51DF">
              <w:rPr>
                <w:rFonts w:asciiTheme="minorHAnsi" w:hAnsiTheme="minorHAnsi"/>
              </w:rPr>
              <w:t>e vrtnine (vključno z melonami) in jagode</w:t>
            </w:r>
            <w:r w:rsidR="00716F7E" w:rsidRPr="00281082">
              <w:rPr>
                <w:rFonts w:asciiTheme="minorHAnsi" w:hAnsiTheme="minorHAnsi"/>
              </w:rPr>
              <w:t xml:space="preserve"> – na prostem</w:t>
            </w:r>
          </w:p>
        </w:tc>
        <w:tc>
          <w:tcPr>
            <w:tcW w:w="5420" w:type="dxa"/>
            <w:noWrap/>
          </w:tcPr>
          <w:p w14:paraId="39EF7D5A" w14:textId="01CBB20B" w:rsidR="00EB6B96" w:rsidRPr="00281082" w:rsidRDefault="00EB6B96" w:rsidP="00447693">
            <w:pPr>
              <w:rPr>
                <w:rFonts w:asciiTheme="minorHAnsi" w:hAnsiTheme="minorHAnsi"/>
              </w:rPr>
            </w:pPr>
            <w:r w:rsidRPr="00281082">
              <w:rPr>
                <w:rFonts w:asciiTheme="minorHAnsi" w:hAnsiTheme="minorHAnsi"/>
              </w:rPr>
              <w:t>Popravki SURS za leto 2015, odstopanje podatkov</w:t>
            </w:r>
          </w:p>
        </w:tc>
      </w:tr>
      <w:tr w:rsidR="00EB6B96" w:rsidRPr="00570532" w14:paraId="701ABF18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682E05F4" w14:textId="70554BBF" w:rsidR="00EB6B96" w:rsidRPr="00483607" w:rsidRDefault="003723F7" w:rsidP="00447693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lastRenderedPageBreak/>
              <w:t>SOC_CLND046</w:t>
            </w:r>
          </w:p>
        </w:tc>
        <w:tc>
          <w:tcPr>
            <w:tcW w:w="2235" w:type="dxa"/>
            <w:noWrap/>
          </w:tcPr>
          <w:p w14:paraId="48A74D8A" w14:textId="7D109BEF" w:rsidR="00EB6B96" w:rsidRPr="002246CB" w:rsidRDefault="003723F7" w:rsidP="00447693">
            <w:pPr>
              <w:rPr>
                <w:rFonts w:asciiTheme="minorHAnsi" w:hAnsiTheme="minorHAnsi"/>
              </w:rPr>
            </w:pPr>
            <w:r w:rsidRPr="008C51DF">
              <w:rPr>
                <w:rFonts w:asciiTheme="minorHAnsi" w:hAnsiTheme="minorHAnsi"/>
              </w:rPr>
              <w:t>Cvetje in okrasne rastline</w:t>
            </w:r>
            <w:r w:rsidR="00716F7E" w:rsidRPr="008C51DF">
              <w:rPr>
                <w:rFonts w:asciiTheme="minorHAnsi" w:hAnsiTheme="minorHAnsi"/>
              </w:rPr>
              <w:t xml:space="preserve"> (razen drevesnic) </w:t>
            </w:r>
            <w:r w:rsidR="00716F7E" w:rsidRPr="008933F5">
              <w:rPr>
                <w:rFonts w:asciiTheme="minorHAnsi" w:hAnsiTheme="minorHAnsi"/>
              </w:rPr>
              <w:t xml:space="preserve">– na </w:t>
            </w:r>
            <w:r w:rsidR="00716F7E" w:rsidRPr="002246CB">
              <w:rPr>
                <w:rFonts w:asciiTheme="minorHAnsi" w:hAnsiTheme="minorHAnsi"/>
              </w:rPr>
              <w:t>prostem</w:t>
            </w:r>
          </w:p>
        </w:tc>
        <w:tc>
          <w:tcPr>
            <w:tcW w:w="5420" w:type="dxa"/>
            <w:noWrap/>
          </w:tcPr>
          <w:p w14:paraId="55567030" w14:textId="25BA0964" w:rsidR="00EB6B96" w:rsidRPr="00281082" w:rsidRDefault="003723F7" w:rsidP="00447693">
            <w:pPr>
              <w:rPr>
                <w:rFonts w:asciiTheme="minorHAnsi" w:hAnsiTheme="minorHAnsi"/>
              </w:rPr>
            </w:pPr>
            <w:r w:rsidRPr="00281082">
              <w:rPr>
                <w:rFonts w:asciiTheme="minorHAnsi" w:hAnsiTheme="minorHAnsi"/>
              </w:rPr>
              <w:t>Nezanesljivi podatki, pridelava ocenjena iz odkupa</w:t>
            </w:r>
          </w:p>
        </w:tc>
      </w:tr>
      <w:tr w:rsidR="00186E95" w:rsidRPr="00570532" w14:paraId="469D22CA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267B84AC" w14:textId="77777777" w:rsidR="00186E95" w:rsidRDefault="00186E95" w:rsidP="00483607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SOC_CLND05</w:t>
            </w:r>
            <w:r w:rsidR="00716F7E" w:rsidRPr="008C51DF">
              <w:rPr>
                <w:rFonts w:asciiTheme="minorHAnsi" w:hAnsiTheme="minorHAnsi"/>
              </w:rPr>
              <w:t>5</w:t>
            </w:r>
          </w:p>
          <w:p w14:paraId="2F8D1AE9" w14:textId="77777777" w:rsidR="007D1805" w:rsidRDefault="007D1805" w:rsidP="007D1805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SOC_CLND05</w:t>
            </w:r>
            <w:r>
              <w:rPr>
                <w:rFonts w:asciiTheme="minorHAnsi" w:hAnsiTheme="minorHAnsi"/>
              </w:rPr>
              <w:t>6_57</w:t>
            </w:r>
          </w:p>
          <w:p w14:paraId="10A262E2" w14:textId="5729016E" w:rsidR="007D1805" w:rsidRPr="00D233D2" w:rsidRDefault="007D1805" w:rsidP="007D1805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SOC_CLND05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235" w:type="dxa"/>
            <w:noWrap/>
          </w:tcPr>
          <w:p w14:paraId="40B83B8A" w14:textId="768B40B6" w:rsidR="00186E95" w:rsidRPr="00483607" w:rsidRDefault="00716F7E" w:rsidP="008B35E8">
            <w:pPr>
              <w:rPr>
                <w:rFonts w:asciiTheme="minorHAnsi" w:hAnsiTheme="minorHAnsi"/>
              </w:rPr>
            </w:pPr>
            <w:r w:rsidRPr="00626C40">
              <w:rPr>
                <w:rFonts w:asciiTheme="minorHAnsi" w:hAnsiTheme="minorHAnsi"/>
              </w:rPr>
              <w:t>Sadje, jagodičje in oreški (razen citrusov, grozdja in jagod)</w:t>
            </w:r>
          </w:p>
        </w:tc>
        <w:tc>
          <w:tcPr>
            <w:tcW w:w="5420" w:type="dxa"/>
            <w:noWrap/>
          </w:tcPr>
          <w:p w14:paraId="76D0E2E3" w14:textId="1AF3A00B" w:rsidR="00186E95" w:rsidRPr="00483607" w:rsidRDefault="00186E95" w:rsidP="00483607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Pridobljeni podrobnejši podatki o površini in pridel</w:t>
            </w:r>
            <w:r w:rsidR="005F222F" w:rsidRPr="00483607">
              <w:rPr>
                <w:rFonts w:asciiTheme="minorHAnsi" w:hAnsiTheme="minorHAnsi"/>
              </w:rPr>
              <w:t>ku</w:t>
            </w:r>
            <w:r w:rsidR="000B0F2B" w:rsidRPr="008C51DF">
              <w:rPr>
                <w:rFonts w:asciiTheme="minorHAnsi" w:hAnsiTheme="minorHAnsi"/>
              </w:rPr>
              <w:t xml:space="preserve">; </w:t>
            </w:r>
            <w:r w:rsidR="000B0F2B" w:rsidRPr="00D233D2">
              <w:rPr>
                <w:rFonts w:asciiTheme="minorHAnsi" w:hAnsiTheme="minorHAnsi"/>
              </w:rPr>
              <w:t xml:space="preserve">Velike razlike </w:t>
            </w:r>
            <w:r w:rsidR="000B0F2B" w:rsidRPr="002246CB">
              <w:rPr>
                <w:rFonts w:asciiTheme="minorHAnsi" w:hAnsiTheme="minorHAnsi"/>
              </w:rPr>
              <w:t>v pridelku med leti zaradi nepredvidljivih vremenskih razmer</w:t>
            </w:r>
          </w:p>
        </w:tc>
      </w:tr>
      <w:tr w:rsidR="00186E95" w:rsidRPr="00570532" w14:paraId="3B252824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4694E0FB" w14:textId="0C9CA248" w:rsidR="00186E95" w:rsidRPr="00483607" w:rsidRDefault="00186E95" w:rsidP="000B0F2B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SOC_CLND062</w:t>
            </w:r>
          </w:p>
        </w:tc>
        <w:tc>
          <w:tcPr>
            <w:tcW w:w="2235" w:type="dxa"/>
            <w:noWrap/>
          </w:tcPr>
          <w:p w14:paraId="5887E508" w14:textId="505808E3" w:rsidR="00186E95" w:rsidRPr="008C51DF" w:rsidRDefault="00186E95" w:rsidP="000B0F2B">
            <w:pPr>
              <w:rPr>
                <w:rFonts w:asciiTheme="minorHAnsi" w:hAnsiTheme="minorHAnsi"/>
              </w:rPr>
            </w:pPr>
            <w:r w:rsidRPr="008C51DF">
              <w:rPr>
                <w:rFonts w:asciiTheme="minorHAnsi" w:hAnsiTheme="minorHAnsi"/>
              </w:rPr>
              <w:t>Grozdje</w:t>
            </w:r>
          </w:p>
        </w:tc>
        <w:tc>
          <w:tcPr>
            <w:tcW w:w="5420" w:type="dxa"/>
            <w:noWrap/>
          </w:tcPr>
          <w:p w14:paraId="706A5AAA" w14:textId="16479F7A" w:rsidR="00186E95" w:rsidRPr="00281082" w:rsidRDefault="00186E95" w:rsidP="008B35E8">
            <w:pPr>
              <w:rPr>
                <w:rFonts w:asciiTheme="minorHAnsi" w:hAnsiTheme="minorHAnsi"/>
              </w:rPr>
            </w:pPr>
            <w:r w:rsidRPr="002246CB">
              <w:rPr>
                <w:rFonts w:asciiTheme="minorHAnsi" w:hAnsiTheme="minorHAnsi"/>
              </w:rPr>
              <w:t xml:space="preserve">Velike razlike </w:t>
            </w:r>
            <w:r w:rsidR="000B0F2B" w:rsidRPr="002246CB">
              <w:rPr>
                <w:rFonts w:asciiTheme="minorHAnsi" w:hAnsiTheme="minorHAnsi"/>
              </w:rPr>
              <w:t xml:space="preserve">v pridelku </w:t>
            </w:r>
            <w:r w:rsidR="000B0F2B" w:rsidRPr="00281082">
              <w:rPr>
                <w:rFonts w:asciiTheme="minorHAnsi" w:hAnsiTheme="minorHAnsi"/>
              </w:rPr>
              <w:t>med leti</w:t>
            </w:r>
            <w:r w:rsidRPr="00281082">
              <w:rPr>
                <w:rFonts w:asciiTheme="minorHAnsi" w:hAnsiTheme="minorHAnsi"/>
              </w:rPr>
              <w:t xml:space="preserve"> zaradi nepredvidljivih vremenskih razmer</w:t>
            </w:r>
          </w:p>
        </w:tc>
      </w:tr>
      <w:tr w:rsidR="00186E95" w:rsidRPr="00570532" w14:paraId="61AE9F2C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5557413E" w14:textId="4A9B5164" w:rsidR="00186E95" w:rsidRPr="00483607" w:rsidRDefault="00186E95" w:rsidP="007D1805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SOC_CLND069</w:t>
            </w:r>
          </w:p>
        </w:tc>
        <w:tc>
          <w:tcPr>
            <w:tcW w:w="2235" w:type="dxa"/>
            <w:noWrap/>
          </w:tcPr>
          <w:p w14:paraId="0F6EBF1E" w14:textId="59D733CA" w:rsidR="00186E95" w:rsidRPr="00D233D2" w:rsidRDefault="00186E95" w:rsidP="00186E95">
            <w:pPr>
              <w:rPr>
                <w:rFonts w:asciiTheme="minorHAnsi" w:hAnsiTheme="minorHAnsi"/>
              </w:rPr>
            </w:pPr>
            <w:r w:rsidRPr="008C51DF">
              <w:rPr>
                <w:rFonts w:asciiTheme="minorHAnsi" w:hAnsiTheme="minorHAnsi"/>
              </w:rPr>
              <w:t>Ol</w:t>
            </w:r>
            <w:r w:rsidR="00716F7E" w:rsidRPr="008C51DF">
              <w:rPr>
                <w:rFonts w:asciiTheme="minorHAnsi" w:hAnsiTheme="minorHAnsi"/>
              </w:rPr>
              <w:t>jke</w:t>
            </w:r>
          </w:p>
        </w:tc>
        <w:tc>
          <w:tcPr>
            <w:tcW w:w="5420" w:type="dxa"/>
            <w:noWrap/>
          </w:tcPr>
          <w:p w14:paraId="26A6A257" w14:textId="07C6C4BF" w:rsidR="00186E95" w:rsidRPr="00281082" w:rsidRDefault="000B0F2B" w:rsidP="00186E95">
            <w:pPr>
              <w:rPr>
                <w:rFonts w:asciiTheme="minorHAnsi" w:hAnsiTheme="minorHAnsi"/>
              </w:rPr>
            </w:pPr>
            <w:r w:rsidRPr="002246CB">
              <w:rPr>
                <w:rFonts w:asciiTheme="minorHAnsi" w:hAnsiTheme="minorHAnsi"/>
              </w:rPr>
              <w:t>Velike razlike v pridelku med leti</w:t>
            </w:r>
            <w:r w:rsidRPr="00281082">
              <w:rPr>
                <w:rFonts w:asciiTheme="minorHAnsi" w:hAnsiTheme="minorHAnsi"/>
              </w:rPr>
              <w:t xml:space="preserve"> zaradi nepredvidljivih vremenskih razmer</w:t>
            </w:r>
          </w:p>
        </w:tc>
      </w:tr>
      <w:tr w:rsidR="00186E95" w:rsidRPr="00570532" w14:paraId="739A46F5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4EC96181" w14:textId="7B0CD74F" w:rsidR="00186E95" w:rsidRPr="00483607" w:rsidRDefault="00186E95" w:rsidP="007D1805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SOC_CLND070</w:t>
            </w:r>
          </w:p>
        </w:tc>
        <w:tc>
          <w:tcPr>
            <w:tcW w:w="2235" w:type="dxa"/>
            <w:noWrap/>
          </w:tcPr>
          <w:p w14:paraId="1EAE7DB0" w14:textId="5EEEA27A" w:rsidR="00186E95" w:rsidRPr="00D233D2" w:rsidRDefault="00186E95" w:rsidP="00186E95">
            <w:pPr>
              <w:rPr>
                <w:rFonts w:asciiTheme="minorHAnsi" w:hAnsiTheme="minorHAnsi"/>
              </w:rPr>
            </w:pPr>
            <w:r w:rsidRPr="008C51DF">
              <w:rPr>
                <w:rFonts w:asciiTheme="minorHAnsi" w:hAnsiTheme="minorHAnsi"/>
              </w:rPr>
              <w:t>Drevesnice</w:t>
            </w:r>
          </w:p>
        </w:tc>
        <w:tc>
          <w:tcPr>
            <w:tcW w:w="5420" w:type="dxa"/>
            <w:noWrap/>
          </w:tcPr>
          <w:p w14:paraId="27188B07" w14:textId="69C6C31A" w:rsidR="00186E95" w:rsidRPr="002246CB" w:rsidRDefault="00186E95" w:rsidP="00186E95">
            <w:pPr>
              <w:rPr>
                <w:rFonts w:asciiTheme="minorHAnsi" w:hAnsiTheme="minorHAnsi"/>
              </w:rPr>
            </w:pPr>
            <w:r w:rsidRPr="002246CB">
              <w:rPr>
                <w:rFonts w:asciiTheme="minorHAnsi" w:hAnsiTheme="minorHAnsi"/>
              </w:rPr>
              <w:t>Nezanesljivi podatki</w:t>
            </w:r>
          </w:p>
        </w:tc>
      </w:tr>
      <w:tr w:rsidR="00186E95" w:rsidRPr="00570532" w14:paraId="45904A66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0213CF18" w14:textId="5601AE30" w:rsidR="00186E95" w:rsidRPr="00483607" w:rsidRDefault="00186E95" w:rsidP="00186E95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SOC_CLVS014</w:t>
            </w:r>
          </w:p>
        </w:tc>
        <w:tc>
          <w:tcPr>
            <w:tcW w:w="2235" w:type="dxa"/>
            <w:noWrap/>
          </w:tcPr>
          <w:p w14:paraId="4CFC7C46" w14:textId="704211CD" w:rsidR="00186E95" w:rsidRPr="008C51DF" w:rsidRDefault="00186E95" w:rsidP="00186E95">
            <w:pPr>
              <w:rPr>
                <w:rFonts w:asciiTheme="minorHAnsi" w:hAnsiTheme="minorHAnsi"/>
              </w:rPr>
            </w:pPr>
            <w:r w:rsidRPr="008C51DF">
              <w:rPr>
                <w:rFonts w:asciiTheme="minorHAnsi" w:hAnsiTheme="minorHAnsi"/>
              </w:rPr>
              <w:t>Druge ovce</w:t>
            </w:r>
          </w:p>
        </w:tc>
        <w:tc>
          <w:tcPr>
            <w:tcW w:w="5420" w:type="dxa"/>
            <w:noWrap/>
          </w:tcPr>
          <w:p w14:paraId="0D3857E3" w14:textId="145206C1" w:rsidR="00186E95" w:rsidRPr="002246CB" w:rsidRDefault="00186E95" w:rsidP="00186E95">
            <w:pPr>
              <w:rPr>
                <w:rFonts w:asciiTheme="minorHAnsi" w:hAnsiTheme="minorHAnsi"/>
              </w:rPr>
            </w:pPr>
            <w:r w:rsidRPr="002246CB">
              <w:rPr>
                <w:rFonts w:asciiTheme="minorHAnsi" w:hAnsiTheme="minorHAnsi"/>
              </w:rPr>
              <w:t>Odstopanja podatkov o številu živali po letih</w:t>
            </w:r>
          </w:p>
        </w:tc>
      </w:tr>
      <w:tr w:rsidR="00186E95" w:rsidRPr="00570532" w14:paraId="093F7222" w14:textId="77777777" w:rsidTr="008B66C3">
        <w:trPr>
          <w:cantSplit/>
          <w:trHeight w:val="227"/>
          <w:tblHeader/>
        </w:trPr>
        <w:tc>
          <w:tcPr>
            <w:tcW w:w="1701" w:type="dxa"/>
            <w:noWrap/>
          </w:tcPr>
          <w:p w14:paraId="5ED8F277" w14:textId="09837744" w:rsidR="00186E95" w:rsidRPr="00483607" w:rsidRDefault="00186E95" w:rsidP="00186E95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SOC_CLVS016</w:t>
            </w:r>
          </w:p>
        </w:tc>
        <w:tc>
          <w:tcPr>
            <w:tcW w:w="2235" w:type="dxa"/>
            <w:noWrap/>
          </w:tcPr>
          <w:p w14:paraId="43DAB5C4" w14:textId="639D3118" w:rsidR="00186E95" w:rsidRPr="00483607" w:rsidRDefault="00186E95" w:rsidP="00186E95">
            <w:pPr>
              <w:rPr>
                <w:rFonts w:asciiTheme="minorHAnsi" w:hAnsiTheme="minorHAnsi"/>
              </w:rPr>
            </w:pPr>
            <w:r w:rsidRPr="00483607">
              <w:rPr>
                <w:rFonts w:asciiTheme="minorHAnsi" w:hAnsiTheme="minorHAnsi"/>
              </w:rPr>
              <w:t>Plemenske koz</w:t>
            </w:r>
            <w:r w:rsidR="00281082">
              <w:rPr>
                <w:rFonts w:asciiTheme="minorHAnsi" w:hAnsiTheme="minorHAnsi"/>
              </w:rPr>
              <w:t>je samice</w:t>
            </w:r>
          </w:p>
        </w:tc>
        <w:tc>
          <w:tcPr>
            <w:tcW w:w="5420" w:type="dxa"/>
            <w:noWrap/>
          </w:tcPr>
          <w:p w14:paraId="387C07AE" w14:textId="20A04FA8" w:rsidR="00186E95" w:rsidRPr="008C51DF" w:rsidRDefault="00186E95" w:rsidP="00186E95">
            <w:pPr>
              <w:rPr>
                <w:rFonts w:asciiTheme="minorHAnsi" w:hAnsiTheme="minorHAnsi"/>
              </w:rPr>
            </w:pPr>
            <w:r w:rsidRPr="008C51DF">
              <w:rPr>
                <w:rFonts w:asciiTheme="minorHAnsi" w:hAnsiTheme="minorHAnsi"/>
              </w:rPr>
              <w:t>Odstopanja podatkov o številu živali po letih</w:t>
            </w:r>
          </w:p>
        </w:tc>
      </w:tr>
    </w:tbl>
    <w:p w14:paraId="31D050EC" w14:textId="77777777" w:rsidR="00EB6B96" w:rsidRDefault="00EB6B96" w:rsidP="00F94D37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14:paraId="6A53D91F" w14:textId="44C88594" w:rsidR="00C24CB2" w:rsidRPr="00570532" w:rsidRDefault="00602BD1" w:rsidP="00F94D37">
      <w:pPr>
        <w:spacing w:after="120"/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 nekaterih skupinah pridelkov se SO koeficienti med leti razlikujejo, kar je lahko posledica velikih nihanj v pridelavi</w:t>
      </w:r>
      <w:r w:rsidR="00483607">
        <w:rPr>
          <w:rFonts w:asciiTheme="minorHAnsi" w:hAnsiTheme="minorHAnsi"/>
          <w:sz w:val="24"/>
          <w:szCs w:val="24"/>
        </w:rPr>
        <w:t>, večinoma zaradi vremenskih dejavnikov (rastlinska pridelava) in</w:t>
      </w:r>
      <w:r>
        <w:rPr>
          <w:rFonts w:asciiTheme="minorHAnsi" w:hAnsiTheme="minorHAnsi"/>
          <w:sz w:val="24"/>
          <w:szCs w:val="24"/>
        </w:rPr>
        <w:t xml:space="preserve"> </w:t>
      </w:r>
      <w:r w:rsidR="00D233D2">
        <w:rPr>
          <w:rFonts w:asciiTheme="minorHAnsi" w:hAnsiTheme="minorHAnsi"/>
          <w:sz w:val="24"/>
          <w:szCs w:val="24"/>
        </w:rPr>
        <w:t xml:space="preserve">gibanja </w:t>
      </w:r>
      <w:r>
        <w:rPr>
          <w:rFonts w:asciiTheme="minorHAnsi" w:hAnsiTheme="minorHAnsi"/>
          <w:sz w:val="24"/>
          <w:szCs w:val="24"/>
        </w:rPr>
        <w:t>cen</w:t>
      </w:r>
      <w:r w:rsidR="001649A1">
        <w:rPr>
          <w:rFonts w:asciiTheme="minorHAnsi" w:hAnsiTheme="minorHAnsi"/>
          <w:sz w:val="24"/>
          <w:szCs w:val="24"/>
        </w:rPr>
        <w:t>.</w:t>
      </w:r>
    </w:p>
    <w:p w14:paraId="2DBD7093" w14:textId="77777777" w:rsidR="00D85843" w:rsidRPr="00570532" w:rsidRDefault="00D85843" w:rsidP="00D85843">
      <w:pPr>
        <w:pStyle w:val="Telobesedila"/>
        <w:rPr>
          <w:rFonts w:asciiTheme="minorHAnsi" w:hAnsiTheme="minorHAnsi" w:cs="Arial"/>
          <w:color w:val="4F81BD" w:themeColor="accent1"/>
          <w:szCs w:val="24"/>
          <w:lang w:val="sl-SI"/>
        </w:rPr>
      </w:pPr>
    </w:p>
    <w:p w14:paraId="579489F9" w14:textId="12847947" w:rsidR="00AE5E7D" w:rsidRPr="00955A04" w:rsidRDefault="00AE5E7D" w:rsidP="00E31416">
      <w:pPr>
        <w:pStyle w:val="Telobesedila"/>
        <w:spacing w:after="120"/>
        <w:rPr>
          <w:rFonts w:asciiTheme="minorHAnsi" w:hAnsiTheme="minorHAnsi" w:cs="Arial"/>
          <w:b/>
          <w:szCs w:val="24"/>
          <w:lang w:val="sl-SI"/>
        </w:rPr>
      </w:pPr>
      <w:r w:rsidRPr="00955A04">
        <w:rPr>
          <w:rFonts w:asciiTheme="minorHAnsi" w:hAnsiTheme="minorHAnsi" w:cs="Arial"/>
          <w:b/>
          <w:szCs w:val="24"/>
          <w:lang w:val="sl-SI"/>
        </w:rPr>
        <w:t>Izračun SO</w:t>
      </w:r>
      <w:r w:rsidR="00EA57F4">
        <w:rPr>
          <w:rFonts w:asciiTheme="minorHAnsi" w:hAnsiTheme="minorHAnsi" w:cs="Arial"/>
          <w:b/>
          <w:szCs w:val="24"/>
          <w:lang w:val="sl-SI"/>
        </w:rPr>
        <w:t xml:space="preserve">C </w:t>
      </w:r>
      <w:r w:rsidR="00955A04" w:rsidRPr="00955A04">
        <w:rPr>
          <w:rFonts w:asciiTheme="minorHAnsi" w:hAnsiTheme="minorHAnsi" w:cs="Arial"/>
          <w:b/>
          <w:szCs w:val="24"/>
          <w:lang w:val="sl-SI"/>
        </w:rPr>
        <w:t>2017</w:t>
      </w:r>
    </w:p>
    <w:p w14:paraId="787DF5BD" w14:textId="1D0A2929" w:rsidR="00AE5E7D" w:rsidRPr="00955A04" w:rsidRDefault="00033FA4" w:rsidP="00E31416">
      <w:pPr>
        <w:pStyle w:val="Telobesedila"/>
        <w:spacing w:after="120"/>
        <w:rPr>
          <w:rFonts w:asciiTheme="minorHAnsi" w:hAnsiTheme="minorHAnsi" w:cs="Arial"/>
          <w:szCs w:val="24"/>
          <w:lang w:val="sl-SI"/>
        </w:rPr>
      </w:pPr>
      <w:r w:rsidRPr="00955A04">
        <w:rPr>
          <w:rFonts w:asciiTheme="minorHAnsi" w:hAnsiTheme="minorHAnsi" w:cs="Arial"/>
          <w:szCs w:val="24"/>
          <w:lang w:val="sl-SI"/>
        </w:rPr>
        <w:t>SO</w:t>
      </w:r>
      <w:r w:rsidR="00EA57F4">
        <w:rPr>
          <w:rFonts w:asciiTheme="minorHAnsi" w:hAnsiTheme="minorHAnsi" w:cs="Arial"/>
          <w:szCs w:val="24"/>
          <w:lang w:val="sl-SI"/>
        </w:rPr>
        <w:t xml:space="preserve">C </w:t>
      </w:r>
      <w:r w:rsidR="00955A04" w:rsidRPr="00955A04">
        <w:rPr>
          <w:rFonts w:asciiTheme="minorHAnsi" w:hAnsiTheme="minorHAnsi" w:cs="Arial"/>
          <w:szCs w:val="24"/>
          <w:lang w:val="sl-SI"/>
        </w:rPr>
        <w:t>2017</w:t>
      </w:r>
      <w:r w:rsidRPr="00955A04">
        <w:rPr>
          <w:rFonts w:asciiTheme="minorHAnsi" w:hAnsiTheme="minorHAnsi" w:cs="Arial"/>
          <w:szCs w:val="24"/>
          <w:lang w:val="sl-SI"/>
        </w:rPr>
        <w:t xml:space="preserve"> je izračunan kot aritmetično povprečje v EUR izraženih </w:t>
      </w:r>
      <w:r w:rsidR="00E31416" w:rsidRPr="00955A04">
        <w:rPr>
          <w:rFonts w:asciiTheme="minorHAnsi" w:hAnsiTheme="minorHAnsi" w:cs="Arial"/>
          <w:szCs w:val="24"/>
          <w:lang w:val="sl-SI"/>
        </w:rPr>
        <w:t xml:space="preserve">SO </w:t>
      </w:r>
      <w:r w:rsidR="006D5162" w:rsidRPr="00955A04">
        <w:rPr>
          <w:rFonts w:asciiTheme="minorHAnsi" w:hAnsiTheme="minorHAnsi" w:cs="Arial"/>
          <w:szCs w:val="24"/>
          <w:lang w:val="sl-SI"/>
        </w:rPr>
        <w:t xml:space="preserve">koeficientov </w:t>
      </w:r>
      <w:r w:rsidR="00955A04" w:rsidRPr="00955A04">
        <w:rPr>
          <w:rFonts w:asciiTheme="minorHAnsi" w:hAnsiTheme="minorHAnsi" w:cs="Arial"/>
          <w:szCs w:val="24"/>
          <w:lang w:val="sl-SI"/>
        </w:rPr>
        <w:t>za leta 2015</w:t>
      </w:r>
      <w:r w:rsidR="00EA57F4">
        <w:rPr>
          <w:rFonts w:asciiTheme="minorHAnsi" w:hAnsiTheme="minorHAnsi" w:cs="Arial"/>
          <w:szCs w:val="24"/>
          <w:lang w:val="sl-SI"/>
        </w:rPr>
        <w:t>–</w:t>
      </w:r>
      <w:r w:rsidR="00955A04" w:rsidRPr="00955A04">
        <w:rPr>
          <w:rFonts w:asciiTheme="minorHAnsi" w:hAnsiTheme="minorHAnsi" w:cs="Arial"/>
          <w:szCs w:val="24"/>
          <w:lang w:val="sl-SI"/>
        </w:rPr>
        <w:t>2019</w:t>
      </w:r>
      <w:r w:rsidRPr="00955A04">
        <w:rPr>
          <w:rFonts w:asciiTheme="minorHAnsi" w:hAnsiTheme="minorHAnsi" w:cs="Arial"/>
          <w:szCs w:val="24"/>
          <w:lang w:val="sl-SI"/>
        </w:rPr>
        <w:t>.</w:t>
      </w:r>
    </w:p>
    <w:p w14:paraId="13493D2A" w14:textId="77777777" w:rsidR="00FE6F0D" w:rsidRPr="00570532" w:rsidRDefault="00FE6F0D" w:rsidP="00C1069D">
      <w:pPr>
        <w:pStyle w:val="Telobesedila"/>
        <w:spacing w:after="120"/>
        <w:jc w:val="left"/>
        <w:rPr>
          <w:rFonts w:asciiTheme="minorHAnsi" w:hAnsiTheme="minorHAnsi" w:cs="Arial"/>
          <w:b/>
          <w:color w:val="4F81BD" w:themeColor="accent1"/>
          <w:szCs w:val="24"/>
          <w:lang w:val="sl-SI"/>
        </w:rPr>
      </w:pPr>
    </w:p>
    <w:p w14:paraId="7BBC1E24" w14:textId="77777777" w:rsidR="00D85843" w:rsidRPr="00955A04" w:rsidRDefault="00D85843" w:rsidP="00C1069D">
      <w:pPr>
        <w:pStyle w:val="Telobesedila"/>
        <w:spacing w:after="120"/>
        <w:jc w:val="left"/>
        <w:rPr>
          <w:rFonts w:asciiTheme="minorHAnsi" w:hAnsiTheme="minorHAnsi" w:cs="Arial"/>
          <w:b/>
          <w:szCs w:val="24"/>
          <w:lang w:val="sl-SI"/>
        </w:rPr>
      </w:pPr>
      <w:r w:rsidRPr="00955A04">
        <w:rPr>
          <w:rFonts w:asciiTheme="minorHAnsi" w:hAnsiTheme="minorHAnsi" w:cs="Arial"/>
          <w:b/>
          <w:szCs w:val="24"/>
          <w:lang w:val="sl-SI"/>
        </w:rPr>
        <w:t>R</w:t>
      </w:r>
      <w:r w:rsidR="00CF5ADA" w:rsidRPr="00955A04">
        <w:rPr>
          <w:rFonts w:asciiTheme="minorHAnsi" w:hAnsiTheme="minorHAnsi" w:cs="Arial"/>
          <w:b/>
          <w:szCs w:val="24"/>
          <w:lang w:val="sl-SI"/>
        </w:rPr>
        <w:t>EZULTATI</w:t>
      </w:r>
    </w:p>
    <w:p w14:paraId="7ADD3985" w14:textId="07CAFE20" w:rsidR="00FE6F0D" w:rsidRPr="00955A04" w:rsidRDefault="00DB3C99" w:rsidP="00C1069D">
      <w:pPr>
        <w:pStyle w:val="Telobesedila"/>
        <w:spacing w:after="120"/>
        <w:rPr>
          <w:rFonts w:asciiTheme="minorHAnsi" w:hAnsiTheme="minorHAnsi" w:cs="Arial"/>
          <w:szCs w:val="24"/>
          <w:lang w:val="sl-SI"/>
        </w:rPr>
      </w:pPr>
      <w:r w:rsidRPr="00955A04">
        <w:rPr>
          <w:rFonts w:asciiTheme="minorHAnsi" w:hAnsiTheme="minorHAnsi" w:cs="Arial"/>
          <w:szCs w:val="24"/>
          <w:lang w:val="sl-SI"/>
        </w:rPr>
        <w:t xml:space="preserve">Končni rezultati </w:t>
      </w:r>
      <w:r w:rsidR="00FE6F0D" w:rsidRPr="00955A04">
        <w:rPr>
          <w:rFonts w:asciiTheme="minorHAnsi" w:hAnsiTheme="minorHAnsi" w:cs="Arial"/>
          <w:szCs w:val="24"/>
          <w:lang w:val="sl-SI"/>
        </w:rPr>
        <w:t>SO</w:t>
      </w:r>
      <w:r w:rsidR="00EA57F4">
        <w:rPr>
          <w:rFonts w:asciiTheme="minorHAnsi" w:hAnsiTheme="minorHAnsi" w:cs="Arial"/>
          <w:szCs w:val="24"/>
          <w:lang w:val="sl-SI"/>
        </w:rPr>
        <w:t xml:space="preserve">C </w:t>
      </w:r>
      <w:r w:rsidR="00955A04" w:rsidRPr="00955A04">
        <w:rPr>
          <w:rFonts w:asciiTheme="minorHAnsi" w:hAnsiTheme="minorHAnsi" w:cs="Arial"/>
          <w:szCs w:val="24"/>
          <w:lang w:val="sl-SI"/>
        </w:rPr>
        <w:t>2017</w:t>
      </w:r>
      <w:r w:rsidR="00FE6F0D" w:rsidRPr="00955A04">
        <w:rPr>
          <w:rFonts w:asciiTheme="minorHAnsi" w:hAnsiTheme="minorHAnsi" w:cs="Arial"/>
          <w:szCs w:val="24"/>
          <w:lang w:val="sl-SI"/>
        </w:rPr>
        <w:t xml:space="preserve"> </w:t>
      </w:r>
      <w:r w:rsidRPr="00955A04">
        <w:rPr>
          <w:rFonts w:asciiTheme="minorHAnsi" w:hAnsiTheme="minorHAnsi" w:cs="Arial"/>
          <w:szCs w:val="24"/>
          <w:lang w:val="sl-SI"/>
        </w:rPr>
        <w:t xml:space="preserve">so pripravljeni v </w:t>
      </w:r>
      <w:r w:rsidR="00C1069D" w:rsidRPr="00955A04">
        <w:rPr>
          <w:rFonts w:asciiTheme="minorHAnsi" w:hAnsiTheme="minorHAnsi" w:cs="Arial"/>
          <w:szCs w:val="24"/>
          <w:lang w:val="sl-SI"/>
        </w:rPr>
        <w:t>predpisani</w:t>
      </w:r>
      <w:r w:rsidRPr="00955A04">
        <w:rPr>
          <w:rFonts w:asciiTheme="minorHAnsi" w:hAnsiTheme="minorHAnsi" w:cs="Arial"/>
          <w:szCs w:val="24"/>
          <w:lang w:val="sl-SI"/>
        </w:rPr>
        <w:t xml:space="preserve"> obliki</w:t>
      </w:r>
      <w:r w:rsidR="00D16EA9" w:rsidRPr="00955A04">
        <w:rPr>
          <w:rFonts w:asciiTheme="minorHAnsi" w:hAnsiTheme="minorHAnsi" w:cs="Arial"/>
          <w:szCs w:val="24"/>
          <w:lang w:val="sl-SI"/>
        </w:rPr>
        <w:t xml:space="preserve"> (</w:t>
      </w:r>
      <w:r w:rsidR="00955A04" w:rsidRPr="00955A04">
        <w:rPr>
          <w:rFonts w:asciiTheme="minorHAnsi" w:hAnsiTheme="minorHAnsi" w:cs="Arial"/>
          <w:szCs w:val="24"/>
          <w:lang w:val="sl-SI"/>
        </w:rPr>
        <w:t xml:space="preserve">Priloga II </w:t>
      </w:r>
      <w:r w:rsidR="00955A04" w:rsidRPr="00955A04">
        <w:rPr>
          <w:rFonts w:asciiTheme="minorHAnsi" w:hAnsiTheme="minorHAnsi" w:cs="Arial"/>
          <w:szCs w:val="24"/>
        </w:rPr>
        <w:t>Typology H</w:t>
      </w:r>
      <w:r w:rsidR="00793756">
        <w:rPr>
          <w:rFonts w:asciiTheme="minorHAnsi" w:hAnsiTheme="minorHAnsi" w:cs="Arial"/>
          <w:szCs w:val="24"/>
        </w:rPr>
        <w:t>andbook RI/CC 1500 rev. 5, 2020</w:t>
      </w:r>
      <w:r w:rsidR="00D16EA9" w:rsidRPr="00955A04">
        <w:rPr>
          <w:rFonts w:asciiTheme="minorHAnsi" w:hAnsiTheme="minorHAnsi" w:cs="Arial"/>
          <w:szCs w:val="24"/>
          <w:lang w:val="sl-SI"/>
        </w:rPr>
        <w:t>)</w:t>
      </w:r>
      <w:r w:rsidRPr="00955A04">
        <w:rPr>
          <w:rFonts w:asciiTheme="minorHAnsi" w:hAnsiTheme="minorHAnsi" w:cs="Arial"/>
          <w:szCs w:val="24"/>
          <w:lang w:val="sl-SI"/>
        </w:rPr>
        <w:t>.</w:t>
      </w:r>
      <w:r w:rsidR="004B6529" w:rsidRPr="00955A04">
        <w:rPr>
          <w:rFonts w:asciiTheme="minorHAnsi" w:hAnsiTheme="minorHAnsi" w:cs="Arial"/>
          <w:szCs w:val="24"/>
          <w:lang w:val="sl-SI"/>
        </w:rPr>
        <w:t xml:space="preserve"> </w:t>
      </w:r>
    </w:p>
    <w:p w14:paraId="13F499A2" w14:textId="77777777" w:rsidR="004B6529" w:rsidRPr="00955A04" w:rsidRDefault="00FE6F0D" w:rsidP="00C1069D">
      <w:pPr>
        <w:pStyle w:val="Telobesedila"/>
        <w:spacing w:after="120"/>
        <w:rPr>
          <w:rFonts w:asciiTheme="minorHAnsi" w:hAnsiTheme="minorHAnsi" w:cs="Arial"/>
          <w:szCs w:val="24"/>
          <w:lang w:val="sl-SI"/>
        </w:rPr>
      </w:pPr>
      <w:r w:rsidRPr="00955A04">
        <w:rPr>
          <w:rFonts w:asciiTheme="minorHAnsi" w:hAnsiTheme="minorHAnsi" w:cs="Arial"/>
          <w:szCs w:val="24"/>
          <w:lang w:val="sl-SI"/>
        </w:rPr>
        <w:t>P</w:t>
      </w:r>
      <w:r w:rsidR="004B6529" w:rsidRPr="00955A04">
        <w:rPr>
          <w:rFonts w:asciiTheme="minorHAnsi" w:hAnsiTheme="minorHAnsi" w:cs="Arial"/>
          <w:szCs w:val="24"/>
          <w:lang w:val="sl-SI"/>
        </w:rPr>
        <w:t xml:space="preserve">oročilo </w:t>
      </w:r>
      <w:r w:rsidRPr="00955A04">
        <w:rPr>
          <w:rFonts w:asciiTheme="minorHAnsi" w:hAnsiTheme="minorHAnsi" w:cs="Arial"/>
          <w:szCs w:val="24"/>
          <w:lang w:val="sl-SI"/>
        </w:rPr>
        <w:t>z metodološkimi pojasnili je izdelano tudi v angleškem jeziku.</w:t>
      </w:r>
      <w:r w:rsidR="004B6529" w:rsidRPr="00955A04">
        <w:rPr>
          <w:rFonts w:asciiTheme="minorHAnsi" w:hAnsiTheme="minorHAnsi" w:cs="Arial"/>
          <w:szCs w:val="24"/>
          <w:lang w:val="sl-SI"/>
        </w:rPr>
        <w:t xml:space="preserve"> </w:t>
      </w:r>
    </w:p>
    <w:p w14:paraId="29B68823" w14:textId="77777777" w:rsidR="00D85843" w:rsidRPr="00955A04" w:rsidRDefault="00FE6F0D" w:rsidP="00C1069D">
      <w:pPr>
        <w:pStyle w:val="Telobesedila"/>
        <w:spacing w:after="120"/>
        <w:rPr>
          <w:rFonts w:asciiTheme="minorHAnsi" w:hAnsiTheme="minorHAnsi" w:cs="Arial"/>
          <w:szCs w:val="24"/>
          <w:lang w:val="sl-SI"/>
        </w:rPr>
      </w:pPr>
      <w:r w:rsidRPr="00955A04">
        <w:rPr>
          <w:rFonts w:asciiTheme="minorHAnsi" w:hAnsiTheme="minorHAnsi" w:cs="Arial"/>
          <w:szCs w:val="24"/>
          <w:lang w:val="sl-SI"/>
        </w:rPr>
        <w:t>Delovne tabele in i</w:t>
      </w:r>
      <w:r w:rsidR="00D85843" w:rsidRPr="00955A04">
        <w:rPr>
          <w:rFonts w:asciiTheme="minorHAnsi" w:hAnsiTheme="minorHAnsi" w:cs="Arial"/>
          <w:szCs w:val="24"/>
          <w:lang w:val="sl-SI"/>
        </w:rPr>
        <w:t>zv</w:t>
      </w:r>
      <w:r w:rsidR="00B32A44" w:rsidRPr="00955A04">
        <w:rPr>
          <w:rFonts w:asciiTheme="minorHAnsi" w:hAnsiTheme="minorHAnsi" w:cs="Arial"/>
          <w:szCs w:val="24"/>
          <w:lang w:val="sl-SI"/>
        </w:rPr>
        <w:t>i</w:t>
      </w:r>
      <w:r w:rsidR="00D85843" w:rsidRPr="00955A04">
        <w:rPr>
          <w:rFonts w:asciiTheme="minorHAnsi" w:hAnsiTheme="minorHAnsi" w:cs="Arial"/>
          <w:szCs w:val="24"/>
          <w:lang w:val="sl-SI"/>
        </w:rPr>
        <w:t>rn</w:t>
      </w:r>
      <w:r w:rsidR="00DB3C99" w:rsidRPr="00955A04">
        <w:rPr>
          <w:rFonts w:asciiTheme="minorHAnsi" w:hAnsiTheme="minorHAnsi" w:cs="Arial"/>
          <w:szCs w:val="24"/>
          <w:lang w:val="sl-SI"/>
        </w:rPr>
        <w:t>a</w:t>
      </w:r>
      <w:r w:rsidR="00D85843" w:rsidRPr="00955A04">
        <w:rPr>
          <w:rFonts w:asciiTheme="minorHAnsi" w:hAnsiTheme="minorHAnsi" w:cs="Arial"/>
          <w:szCs w:val="24"/>
          <w:lang w:val="sl-SI"/>
        </w:rPr>
        <w:t xml:space="preserve"> dokumentacija se hrani</w:t>
      </w:r>
      <w:r w:rsidR="00B05D7B" w:rsidRPr="00955A04">
        <w:rPr>
          <w:rFonts w:asciiTheme="minorHAnsi" w:hAnsiTheme="minorHAnsi" w:cs="Arial"/>
          <w:szCs w:val="24"/>
          <w:lang w:val="sl-SI"/>
        </w:rPr>
        <w:t>jo</w:t>
      </w:r>
      <w:r w:rsidR="00D85843" w:rsidRPr="00955A04">
        <w:rPr>
          <w:rFonts w:asciiTheme="minorHAnsi" w:hAnsiTheme="minorHAnsi" w:cs="Arial"/>
          <w:szCs w:val="24"/>
          <w:lang w:val="sl-SI"/>
        </w:rPr>
        <w:t xml:space="preserve"> na Kmetijskem inštitutu Slovenije – Oddelek za ekonomiko kmetijstva. </w:t>
      </w:r>
    </w:p>
    <w:p w14:paraId="5A91679A" w14:textId="77777777" w:rsidR="008143FF" w:rsidRPr="00570532" w:rsidRDefault="008143FF" w:rsidP="00C1069D">
      <w:pPr>
        <w:pStyle w:val="Telobesedila"/>
        <w:spacing w:after="120"/>
        <w:rPr>
          <w:rFonts w:asciiTheme="minorHAnsi" w:hAnsiTheme="minorHAnsi" w:cs="Arial"/>
          <w:color w:val="4F81BD" w:themeColor="accent1"/>
          <w:szCs w:val="24"/>
          <w:lang w:val="sl-SI"/>
        </w:rPr>
      </w:pPr>
    </w:p>
    <w:p w14:paraId="17406453" w14:textId="44668E94" w:rsidR="008143FF" w:rsidRPr="001649A1" w:rsidRDefault="008143FF" w:rsidP="00C1069D">
      <w:pPr>
        <w:pStyle w:val="Telobesedila"/>
        <w:spacing w:after="120"/>
        <w:rPr>
          <w:rFonts w:asciiTheme="minorHAnsi" w:hAnsiTheme="minorHAnsi" w:cs="Arial"/>
          <w:b/>
          <w:szCs w:val="24"/>
          <w:lang w:val="sl-SI"/>
        </w:rPr>
      </w:pPr>
      <w:r w:rsidRPr="001649A1">
        <w:rPr>
          <w:rFonts w:asciiTheme="minorHAnsi" w:hAnsiTheme="minorHAnsi" w:cs="Arial"/>
          <w:b/>
          <w:szCs w:val="24"/>
          <w:lang w:val="sl-SI"/>
        </w:rPr>
        <w:t>P</w:t>
      </w:r>
      <w:r w:rsidR="00CF5ADA" w:rsidRPr="001649A1">
        <w:rPr>
          <w:rFonts w:asciiTheme="minorHAnsi" w:hAnsiTheme="minorHAnsi" w:cs="Arial"/>
          <w:b/>
          <w:szCs w:val="24"/>
          <w:lang w:val="sl-SI"/>
        </w:rPr>
        <w:t>RILOG</w:t>
      </w:r>
      <w:r w:rsidR="00A4341D" w:rsidRPr="001649A1">
        <w:rPr>
          <w:rFonts w:asciiTheme="minorHAnsi" w:hAnsiTheme="minorHAnsi" w:cs="Arial"/>
          <w:b/>
          <w:szCs w:val="24"/>
          <w:lang w:val="sl-SI"/>
        </w:rPr>
        <w:t>E</w:t>
      </w:r>
    </w:p>
    <w:p w14:paraId="1C5594C7" w14:textId="4D537D61" w:rsidR="009C7E9B" w:rsidRPr="001649A1" w:rsidRDefault="00BC59C5" w:rsidP="00204159">
      <w:pPr>
        <w:numPr>
          <w:ilvl w:val="0"/>
          <w:numId w:val="24"/>
        </w:numPr>
        <w:rPr>
          <w:rFonts w:asciiTheme="minorHAnsi" w:hAnsiTheme="minorHAnsi" w:cs="Arial"/>
          <w:sz w:val="24"/>
          <w:szCs w:val="24"/>
        </w:rPr>
      </w:pPr>
      <w:r w:rsidRPr="001649A1">
        <w:rPr>
          <w:rFonts w:asciiTheme="minorHAnsi" w:hAnsiTheme="minorHAnsi" w:cs="Arial"/>
          <w:sz w:val="24"/>
          <w:szCs w:val="24"/>
        </w:rPr>
        <w:t>SO</w:t>
      </w:r>
      <w:r w:rsidR="00B84FAC">
        <w:rPr>
          <w:rFonts w:asciiTheme="minorHAnsi" w:hAnsiTheme="minorHAnsi" w:cs="Arial"/>
          <w:sz w:val="24"/>
          <w:szCs w:val="24"/>
        </w:rPr>
        <w:t>C</w:t>
      </w:r>
      <w:r w:rsidR="00EA57F4">
        <w:rPr>
          <w:rFonts w:asciiTheme="minorHAnsi" w:hAnsiTheme="minorHAnsi" w:cs="Arial"/>
          <w:sz w:val="24"/>
          <w:szCs w:val="24"/>
        </w:rPr>
        <w:t xml:space="preserve"> </w:t>
      </w:r>
      <w:r w:rsidRPr="001649A1">
        <w:rPr>
          <w:rFonts w:asciiTheme="minorHAnsi" w:hAnsiTheme="minorHAnsi" w:cs="Arial"/>
          <w:sz w:val="24"/>
          <w:szCs w:val="24"/>
        </w:rPr>
        <w:t>201</w:t>
      </w:r>
      <w:r w:rsidR="001649A1" w:rsidRPr="001649A1">
        <w:rPr>
          <w:rFonts w:asciiTheme="minorHAnsi" w:hAnsiTheme="minorHAnsi" w:cs="Arial"/>
          <w:sz w:val="24"/>
          <w:szCs w:val="24"/>
        </w:rPr>
        <w:t>7</w:t>
      </w:r>
      <w:r w:rsidRPr="001649A1">
        <w:rPr>
          <w:rFonts w:asciiTheme="minorHAnsi" w:hAnsiTheme="minorHAnsi" w:cs="Arial"/>
          <w:sz w:val="24"/>
          <w:szCs w:val="24"/>
        </w:rPr>
        <w:t xml:space="preserve"> v predpisanih tabelah</w:t>
      </w:r>
      <w:r w:rsidR="00735744" w:rsidRPr="001649A1">
        <w:rPr>
          <w:rFonts w:asciiTheme="minorHAnsi" w:hAnsiTheme="minorHAnsi" w:cs="Arial"/>
          <w:sz w:val="24"/>
          <w:szCs w:val="24"/>
        </w:rPr>
        <w:t xml:space="preserve"> (</w:t>
      </w:r>
      <w:r w:rsidR="00DB3C99" w:rsidRPr="001649A1">
        <w:rPr>
          <w:rFonts w:asciiTheme="minorHAnsi" w:hAnsiTheme="minorHAnsi" w:cs="Arial"/>
          <w:sz w:val="24"/>
          <w:szCs w:val="24"/>
        </w:rPr>
        <w:t>SI_SO_</w:t>
      </w:r>
      <w:r w:rsidR="001649A1" w:rsidRPr="001649A1">
        <w:rPr>
          <w:rFonts w:asciiTheme="minorHAnsi" w:hAnsiTheme="minorHAnsi" w:cs="Arial"/>
          <w:sz w:val="24"/>
          <w:szCs w:val="24"/>
        </w:rPr>
        <w:t>2017</w:t>
      </w:r>
      <w:r w:rsidR="00DB3C99" w:rsidRPr="001649A1">
        <w:rPr>
          <w:rFonts w:asciiTheme="minorHAnsi" w:hAnsiTheme="minorHAnsi" w:cs="Arial"/>
          <w:sz w:val="24"/>
          <w:szCs w:val="24"/>
        </w:rPr>
        <w:t>.xls</w:t>
      </w:r>
      <w:r w:rsidR="006A000D" w:rsidRPr="001649A1">
        <w:rPr>
          <w:rFonts w:asciiTheme="minorHAnsi" w:hAnsiTheme="minorHAnsi" w:cs="Arial"/>
          <w:sz w:val="24"/>
          <w:szCs w:val="24"/>
        </w:rPr>
        <w:t>x</w:t>
      </w:r>
      <w:r w:rsidR="00735744" w:rsidRPr="001649A1">
        <w:rPr>
          <w:rFonts w:asciiTheme="minorHAnsi" w:hAnsiTheme="minorHAnsi" w:cs="Arial"/>
          <w:sz w:val="24"/>
          <w:szCs w:val="24"/>
        </w:rPr>
        <w:t>)</w:t>
      </w:r>
    </w:p>
    <w:p w14:paraId="1A395ADB" w14:textId="16FDD79E" w:rsidR="00FE6F0D" w:rsidRPr="003C736F" w:rsidRDefault="00FE6F0D" w:rsidP="00A4341D">
      <w:pPr>
        <w:numPr>
          <w:ilvl w:val="0"/>
          <w:numId w:val="24"/>
        </w:numPr>
        <w:rPr>
          <w:rFonts w:asciiTheme="minorHAnsi" w:hAnsiTheme="minorHAnsi" w:cs="Arial"/>
          <w:sz w:val="24"/>
          <w:szCs w:val="24"/>
        </w:rPr>
      </w:pPr>
      <w:r w:rsidRPr="003C736F">
        <w:rPr>
          <w:rFonts w:asciiTheme="minorHAnsi" w:hAnsiTheme="minorHAnsi" w:cs="Arial"/>
          <w:sz w:val="24"/>
          <w:szCs w:val="24"/>
        </w:rPr>
        <w:t>SO</w:t>
      </w:r>
      <w:r w:rsidR="00B84FAC">
        <w:rPr>
          <w:rFonts w:asciiTheme="minorHAnsi" w:hAnsiTheme="minorHAnsi" w:cs="Arial"/>
          <w:sz w:val="24"/>
          <w:szCs w:val="24"/>
        </w:rPr>
        <w:t>C</w:t>
      </w:r>
      <w:r w:rsidR="00EA57F4">
        <w:rPr>
          <w:rFonts w:asciiTheme="minorHAnsi" w:hAnsiTheme="minorHAnsi" w:cs="Arial"/>
          <w:sz w:val="24"/>
          <w:szCs w:val="24"/>
        </w:rPr>
        <w:t xml:space="preserve"> </w:t>
      </w:r>
      <w:r w:rsidR="001649A1" w:rsidRPr="003C736F">
        <w:rPr>
          <w:rFonts w:asciiTheme="minorHAnsi" w:hAnsiTheme="minorHAnsi" w:cs="Arial"/>
          <w:sz w:val="24"/>
          <w:szCs w:val="24"/>
        </w:rPr>
        <w:t>2017</w:t>
      </w:r>
      <w:r w:rsidRPr="003C736F">
        <w:rPr>
          <w:rFonts w:asciiTheme="minorHAnsi" w:hAnsiTheme="minorHAnsi" w:cs="Arial"/>
          <w:sz w:val="24"/>
          <w:szCs w:val="24"/>
        </w:rPr>
        <w:t xml:space="preserve"> po posameznih letih</w:t>
      </w:r>
      <w:r w:rsidR="001649A1" w:rsidRPr="003C736F">
        <w:rPr>
          <w:rFonts w:asciiTheme="minorHAnsi" w:hAnsiTheme="minorHAnsi" w:cs="Arial"/>
          <w:sz w:val="24"/>
          <w:szCs w:val="24"/>
        </w:rPr>
        <w:t xml:space="preserve"> (Working_tables_SO2017</w:t>
      </w:r>
      <w:r w:rsidR="00BF1B9D" w:rsidRPr="003C736F">
        <w:rPr>
          <w:rFonts w:asciiTheme="minorHAnsi" w:hAnsiTheme="minorHAnsi" w:cs="Arial"/>
          <w:sz w:val="24"/>
          <w:szCs w:val="24"/>
        </w:rPr>
        <w:t>.xlsx)</w:t>
      </w:r>
    </w:p>
    <w:p w14:paraId="255F3EC1" w14:textId="37A2ACAE" w:rsidR="004B6529" w:rsidRDefault="00BC59C5" w:rsidP="00A4341D">
      <w:pPr>
        <w:numPr>
          <w:ilvl w:val="0"/>
          <w:numId w:val="24"/>
        </w:numPr>
        <w:rPr>
          <w:rFonts w:asciiTheme="minorHAnsi" w:hAnsiTheme="minorHAnsi" w:cs="Arial"/>
          <w:sz w:val="24"/>
          <w:szCs w:val="24"/>
        </w:rPr>
      </w:pPr>
      <w:r w:rsidRPr="003C736F">
        <w:rPr>
          <w:rFonts w:asciiTheme="minorHAnsi" w:hAnsiTheme="minorHAnsi" w:cs="Arial"/>
          <w:sz w:val="24"/>
          <w:szCs w:val="24"/>
        </w:rPr>
        <w:t xml:space="preserve">Angleško poročilo o izračunu - </w:t>
      </w:r>
      <w:r w:rsidR="004B6529" w:rsidRPr="003C736F">
        <w:rPr>
          <w:rFonts w:asciiTheme="minorHAnsi" w:hAnsiTheme="minorHAnsi" w:cs="Arial"/>
          <w:sz w:val="24"/>
          <w:szCs w:val="24"/>
        </w:rPr>
        <w:t xml:space="preserve">The Standard Output </w:t>
      </w:r>
      <w:r w:rsidR="00B25D53">
        <w:rPr>
          <w:rFonts w:asciiTheme="minorHAnsi" w:hAnsiTheme="minorHAnsi" w:cs="Arial"/>
          <w:sz w:val="24"/>
          <w:szCs w:val="24"/>
        </w:rPr>
        <w:t xml:space="preserve">Coefficients </w:t>
      </w:r>
      <w:r w:rsidR="00A71069" w:rsidRPr="003C736F">
        <w:rPr>
          <w:rFonts w:asciiTheme="minorHAnsi" w:hAnsiTheme="minorHAnsi" w:cs="Arial"/>
          <w:sz w:val="24"/>
          <w:szCs w:val="24"/>
        </w:rPr>
        <w:t>»</w:t>
      </w:r>
      <w:r w:rsidR="004B6529" w:rsidRPr="003C736F">
        <w:rPr>
          <w:rFonts w:asciiTheme="minorHAnsi" w:hAnsiTheme="minorHAnsi" w:cs="Arial"/>
          <w:sz w:val="24"/>
          <w:szCs w:val="24"/>
        </w:rPr>
        <w:t>SO</w:t>
      </w:r>
      <w:r w:rsidR="00CB0F7E">
        <w:rPr>
          <w:rFonts w:asciiTheme="minorHAnsi" w:hAnsiTheme="minorHAnsi" w:cs="Arial"/>
          <w:sz w:val="24"/>
          <w:szCs w:val="24"/>
        </w:rPr>
        <w:t>C</w:t>
      </w:r>
      <w:r w:rsidR="004B6529" w:rsidRPr="003C736F">
        <w:rPr>
          <w:rFonts w:asciiTheme="minorHAnsi" w:hAnsiTheme="minorHAnsi" w:cs="Arial"/>
          <w:sz w:val="24"/>
          <w:szCs w:val="24"/>
        </w:rPr>
        <w:t xml:space="preserve"> 20</w:t>
      </w:r>
      <w:r w:rsidR="00B32A44" w:rsidRPr="003C736F">
        <w:rPr>
          <w:rFonts w:asciiTheme="minorHAnsi" w:hAnsiTheme="minorHAnsi" w:cs="Arial"/>
          <w:sz w:val="24"/>
          <w:szCs w:val="24"/>
        </w:rPr>
        <w:t>1</w:t>
      </w:r>
      <w:r w:rsidR="001649A1" w:rsidRPr="003C736F">
        <w:rPr>
          <w:rFonts w:asciiTheme="minorHAnsi" w:hAnsiTheme="minorHAnsi" w:cs="Arial"/>
          <w:sz w:val="24"/>
          <w:szCs w:val="24"/>
        </w:rPr>
        <w:t>7</w:t>
      </w:r>
      <w:r w:rsidR="00A71069" w:rsidRPr="003C736F">
        <w:rPr>
          <w:rFonts w:asciiTheme="minorHAnsi" w:hAnsiTheme="minorHAnsi" w:cs="Arial"/>
          <w:sz w:val="24"/>
          <w:szCs w:val="24"/>
        </w:rPr>
        <w:t>«</w:t>
      </w:r>
      <w:r w:rsidR="004B6529" w:rsidRPr="003C736F">
        <w:rPr>
          <w:rFonts w:asciiTheme="minorHAnsi" w:hAnsiTheme="minorHAnsi" w:cs="Arial"/>
          <w:sz w:val="24"/>
          <w:szCs w:val="24"/>
        </w:rPr>
        <w:t xml:space="preserve"> </w:t>
      </w:r>
      <w:r w:rsidR="00F26944">
        <w:rPr>
          <w:rFonts w:asciiTheme="minorHAnsi" w:hAnsiTheme="minorHAnsi" w:cs="Arial"/>
          <w:sz w:val="24"/>
          <w:szCs w:val="24"/>
        </w:rPr>
        <w:t>for</w:t>
      </w:r>
      <w:r w:rsidR="004B6529" w:rsidRPr="003C736F">
        <w:rPr>
          <w:rFonts w:asciiTheme="minorHAnsi" w:hAnsiTheme="minorHAnsi" w:cs="Arial"/>
          <w:sz w:val="24"/>
          <w:szCs w:val="24"/>
        </w:rPr>
        <w:t xml:space="preserve"> Slovenia</w:t>
      </w:r>
      <w:r w:rsidR="006A000D" w:rsidRPr="003C736F">
        <w:rPr>
          <w:rFonts w:asciiTheme="minorHAnsi" w:hAnsiTheme="minorHAnsi" w:cs="Arial"/>
          <w:sz w:val="24"/>
          <w:szCs w:val="24"/>
        </w:rPr>
        <w:t xml:space="preserve"> (</w:t>
      </w:r>
      <w:r w:rsidR="00FD7CA9" w:rsidRPr="003C736F">
        <w:rPr>
          <w:rFonts w:asciiTheme="minorHAnsi" w:hAnsiTheme="minorHAnsi" w:cs="Arial"/>
          <w:sz w:val="24"/>
          <w:szCs w:val="24"/>
        </w:rPr>
        <w:t xml:space="preserve">Report </w:t>
      </w:r>
      <w:r w:rsidR="001649A1" w:rsidRPr="003C736F">
        <w:rPr>
          <w:rFonts w:asciiTheme="minorHAnsi" w:hAnsiTheme="minorHAnsi" w:cs="Arial"/>
          <w:sz w:val="24"/>
          <w:szCs w:val="24"/>
        </w:rPr>
        <w:t>SI_SO_2017</w:t>
      </w:r>
      <w:r w:rsidR="00A71069" w:rsidRPr="003C736F">
        <w:rPr>
          <w:rFonts w:asciiTheme="minorHAnsi" w:hAnsiTheme="minorHAnsi" w:cs="Arial"/>
          <w:sz w:val="24"/>
          <w:szCs w:val="24"/>
        </w:rPr>
        <w:t>.docx</w:t>
      </w:r>
      <w:r w:rsidR="006A000D" w:rsidRPr="003C736F">
        <w:rPr>
          <w:rFonts w:asciiTheme="minorHAnsi" w:hAnsiTheme="minorHAnsi" w:cs="Arial"/>
          <w:sz w:val="24"/>
          <w:szCs w:val="24"/>
        </w:rPr>
        <w:t>)</w:t>
      </w:r>
    </w:p>
    <w:p w14:paraId="131397AD" w14:textId="29721770" w:rsidR="00776A9D" w:rsidRPr="00626C40" w:rsidRDefault="000973B7" w:rsidP="00A4341D">
      <w:pPr>
        <w:numPr>
          <w:ilvl w:val="0"/>
          <w:numId w:val="24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Podroben postopek izračuno</w:t>
      </w:r>
      <w:r w:rsidR="00F26944">
        <w:rPr>
          <w:rFonts w:asciiTheme="minorHAnsi" w:hAnsiTheme="minorHAnsi" w:cs="Arial"/>
          <w:sz w:val="24"/>
          <w:szCs w:val="24"/>
        </w:rPr>
        <w:t>v SOC</w:t>
      </w:r>
      <w:r w:rsidR="00C5355A">
        <w:rPr>
          <w:rFonts w:asciiTheme="minorHAnsi" w:hAnsiTheme="minorHAnsi" w:cs="Arial"/>
          <w:sz w:val="24"/>
          <w:szCs w:val="24"/>
        </w:rPr>
        <w:t xml:space="preserve"> </w:t>
      </w:r>
      <w:r w:rsidR="00F26944">
        <w:rPr>
          <w:rFonts w:asciiTheme="minorHAnsi" w:hAnsiTheme="minorHAnsi" w:cs="Arial"/>
          <w:sz w:val="24"/>
          <w:szCs w:val="24"/>
        </w:rPr>
        <w:t>2017 (Postopek_podrobno_SO</w:t>
      </w:r>
      <w:r>
        <w:rPr>
          <w:rFonts w:asciiTheme="minorHAnsi" w:hAnsiTheme="minorHAnsi" w:cs="Arial"/>
          <w:sz w:val="24"/>
          <w:szCs w:val="24"/>
        </w:rPr>
        <w:t>_2017</w:t>
      </w:r>
      <w:r w:rsidR="00162F6B">
        <w:rPr>
          <w:rFonts w:asciiTheme="minorHAnsi" w:hAnsiTheme="minorHAnsi" w:cs="Arial"/>
          <w:sz w:val="24"/>
          <w:szCs w:val="24"/>
        </w:rPr>
        <w:t>.xlsx)</w:t>
      </w:r>
    </w:p>
    <w:p w14:paraId="51F7389F" w14:textId="77777777" w:rsidR="004B6529" w:rsidRPr="00626C40" w:rsidRDefault="004B6529" w:rsidP="009C7E9B">
      <w:pPr>
        <w:rPr>
          <w:rFonts w:asciiTheme="minorHAnsi" w:hAnsiTheme="minorHAnsi" w:cs="Arial"/>
          <w:sz w:val="24"/>
          <w:szCs w:val="24"/>
        </w:rPr>
      </w:pPr>
    </w:p>
    <w:p w14:paraId="144402AE" w14:textId="3D0C2E53" w:rsidR="008143FF" w:rsidRPr="00626C40" w:rsidRDefault="00A4341D" w:rsidP="009C7E9B">
      <w:pPr>
        <w:rPr>
          <w:rFonts w:asciiTheme="minorHAnsi" w:hAnsiTheme="minorHAnsi" w:cs="Arial"/>
          <w:sz w:val="24"/>
          <w:szCs w:val="24"/>
        </w:rPr>
      </w:pPr>
      <w:r w:rsidRPr="00626C40">
        <w:rPr>
          <w:rFonts w:asciiTheme="minorHAnsi" w:hAnsiTheme="minorHAnsi" w:cs="Arial"/>
          <w:sz w:val="24"/>
          <w:szCs w:val="24"/>
        </w:rPr>
        <w:t>Poročilo in p</w:t>
      </w:r>
      <w:r w:rsidR="00735744" w:rsidRPr="00626C40">
        <w:rPr>
          <w:rFonts w:asciiTheme="minorHAnsi" w:hAnsiTheme="minorHAnsi" w:cs="Arial"/>
          <w:sz w:val="24"/>
          <w:szCs w:val="24"/>
        </w:rPr>
        <w:t>rilog</w:t>
      </w:r>
      <w:r w:rsidRPr="00626C40">
        <w:rPr>
          <w:rFonts w:asciiTheme="minorHAnsi" w:hAnsiTheme="minorHAnsi" w:cs="Arial"/>
          <w:sz w:val="24"/>
          <w:szCs w:val="24"/>
        </w:rPr>
        <w:t>e</w:t>
      </w:r>
      <w:r w:rsidR="00735744" w:rsidRPr="00626C40">
        <w:rPr>
          <w:rFonts w:asciiTheme="minorHAnsi" w:hAnsiTheme="minorHAnsi" w:cs="Arial"/>
          <w:sz w:val="24"/>
          <w:szCs w:val="24"/>
        </w:rPr>
        <w:t xml:space="preserve"> s</w:t>
      </w:r>
      <w:r w:rsidRPr="00626C40">
        <w:rPr>
          <w:rFonts w:asciiTheme="minorHAnsi" w:hAnsiTheme="minorHAnsi" w:cs="Arial"/>
          <w:sz w:val="24"/>
          <w:szCs w:val="24"/>
        </w:rPr>
        <w:t>o</w:t>
      </w:r>
      <w:r w:rsidR="00735744" w:rsidRPr="00626C40">
        <w:rPr>
          <w:rFonts w:asciiTheme="minorHAnsi" w:hAnsiTheme="minorHAnsi" w:cs="Arial"/>
          <w:sz w:val="24"/>
          <w:szCs w:val="24"/>
        </w:rPr>
        <w:t xml:space="preserve"> </w:t>
      </w:r>
      <w:r w:rsidR="00CF0310" w:rsidRPr="00626C40">
        <w:rPr>
          <w:rFonts w:asciiTheme="minorHAnsi" w:hAnsiTheme="minorHAnsi" w:cs="Arial"/>
          <w:sz w:val="24"/>
          <w:szCs w:val="24"/>
        </w:rPr>
        <w:t xml:space="preserve">bili </w:t>
      </w:r>
      <w:r w:rsidR="00626C40" w:rsidRPr="00626C40">
        <w:rPr>
          <w:rFonts w:asciiTheme="minorHAnsi" w:hAnsiTheme="minorHAnsi" w:cs="Arial"/>
          <w:sz w:val="24"/>
          <w:szCs w:val="24"/>
        </w:rPr>
        <w:t xml:space="preserve">posredovani naročniku </w:t>
      </w:r>
      <w:r w:rsidR="00D77655">
        <w:rPr>
          <w:rFonts w:asciiTheme="minorHAnsi" w:hAnsiTheme="minorHAnsi" w:cs="Arial"/>
          <w:sz w:val="24"/>
          <w:szCs w:val="24"/>
        </w:rPr>
        <w:t>1. 12</w:t>
      </w:r>
      <w:r w:rsidR="00626C40" w:rsidRPr="00626C40">
        <w:rPr>
          <w:rFonts w:asciiTheme="minorHAnsi" w:hAnsiTheme="minorHAnsi" w:cs="Arial"/>
          <w:sz w:val="24"/>
          <w:szCs w:val="24"/>
        </w:rPr>
        <w:t xml:space="preserve">. 2020 </w:t>
      </w:r>
      <w:r w:rsidR="00735744" w:rsidRPr="00626C40">
        <w:rPr>
          <w:rFonts w:asciiTheme="minorHAnsi" w:hAnsiTheme="minorHAnsi" w:cs="Arial"/>
          <w:sz w:val="24"/>
          <w:szCs w:val="24"/>
        </w:rPr>
        <w:t>v elektronski obliki na naslov</w:t>
      </w:r>
      <w:r w:rsidRPr="00626C40">
        <w:rPr>
          <w:rFonts w:asciiTheme="minorHAnsi" w:hAnsiTheme="minorHAnsi" w:cs="Arial"/>
          <w:sz w:val="24"/>
          <w:szCs w:val="24"/>
        </w:rPr>
        <w:t>:</w:t>
      </w:r>
      <w:r w:rsidR="00735744" w:rsidRPr="00626C40">
        <w:rPr>
          <w:rFonts w:asciiTheme="minorHAnsi" w:hAnsiTheme="minorHAnsi" w:cs="Arial"/>
          <w:sz w:val="24"/>
          <w:szCs w:val="24"/>
        </w:rPr>
        <w:t xml:space="preserve"> </w:t>
      </w:r>
      <w:hyperlink r:id="rId9" w:history="1">
        <w:r w:rsidR="008F0B7A" w:rsidRPr="00626C40">
          <w:rPr>
            <w:rStyle w:val="Hiperpovezava"/>
            <w:rFonts w:asciiTheme="minorHAnsi" w:hAnsiTheme="minorHAnsi"/>
            <w:color w:val="auto"/>
            <w:sz w:val="24"/>
            <w:szCs w:val="24"/>
          </w:rPr>
          <w:t>Barbara.Kutin@gov.si</w:t>
        </w:r>
      </w:hyperlink>
      <w:r w:rsidR="00C243A7" w:rsidRPr="008860F7">
        <w:rPr>
          <w:rStyle w:val="Hiperpovezava"/>
          <w:rFonts w:asciiTheme="minorHAnsi" w:hAnsiTheme="minorHAnsi"/>
          <w:color w:val="auto"/>
          <w:sz w:val="24"/>
          <w:szCs w:val="24"/>
          <w:u w:val="none"/>
        </w:rPr>
        <w:t xml:space="preserve"> in</w:t>
      </w:r>
      <w:r w:rsidR="008F0B7A" w:rsidRPr="008860F7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="00C243A7" w:rsidRPr="00626C40">
          <w:rPr>
            <w:rStyle w:val="Hiperpovezava"/>
            <w:rFonts w:asciiTheme="minorHAnsi" w:hAnsiTheme="minorHAnsi" w:cs="Arial"/>
            <w:color w:val="auto"/>
            <w:sz w:val="24"/>
            <w:szCs w:val="24"/>
          </w:rPr>
          <w:t>Ales.Krajnc@gov.si</w:t>
        </w:r>
      </w:hyperlink>
      <w:r w:rsidR="00983BB4" w:rsidRPr="00626C40">
        <w:rPr>
          <w:rFonts w:asciiTheme="minorHAnsi" w:hAnsiTheme="minorHAnsi" w:cs="Arial"/>
          <w:sz w:val="24"/>
          <w:szCs w:val="24"/>
        </w:rPr>
        <w:t>.</w:t>
      </w:r>
    </w:p>
    <w:sectPr w:rsidR="008143FF" w:rsidRPr="00626C40" w:rsidSect="00DB0479">
      <w:footerReference w:type="even" r:id="rId11"/>
      <w:footerReference w:type="default" r:id="rId12"/>
      <w:pgSz w:w="12240" w:h="15840" w:code="1"/>
      <w:pgMar w:top="1418" w:right="1418" w:bottom="1418" w:left="1418" w:header="709" w:footer="709" w:gutter="0"/>
      <w:pgNumType w:start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5CCEA" w14:textId="77777777" w:rsidR="00763E37" w:rsidRDefault="00763E37">
      <w:r>
        <w:separator/>
      </w:r>
    </w:p>
  </w:endnote>
  <w:endnote w:type="continuationSeparator" w:id="0">
    <w:p w14:paraId="58FA03DF" w14:textId="77777777" w:rsidR="00763E37" w:rsidRDefault="007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627D" w14:textId="77777777" w:rsidR="00763E37" w:rsidRPr="00090DAA" w:rsidRDefault="00763E37" w:rsidP="003D3841">
    <w:pPr>
      <w:pStyle w:val="Noga"/>
      <w:framePr w:wrap="around" w:vAnchor="text" w:hAnchor="margin" w:xAlign="right" w:y="1"/>
      <w:rPr>
        <w:rStyle w:val="tevilkastrani"/>
        <w:sz w:val="16"/>
        <w:szCs w:val="16"/>
      </w:rPr>
    </w:pPr>
    <w:r w:rsidRPr="00090DAA">
      <w:rPr>
        <w:rStyle w:val="tevilkastrani"/>
        <w:sz w:val="16"/>
        <w:szCs w:val="16"/>
      </w:rPr>
      <w:fldChar w:fldCharType="begin"/>
    </w:r>
    <w:r w:rsidRPr="00090DAA">
      <w:rPr>
        <w:rStyle w:val="tevilkastrani"/>
        <w:sz w:val="16"/>
        <w:szCs w:val="16"/>
      </w:rPr>
      <w:instrText xml:space="preserve">PAGE  </w:instrText>
    </w:r>
    <w:r w:rsidRPr="00090DAA">
      <w:rPr>
        <w:rStyle w:val="tevilkastrani"/>
        <w:sz w:val="16"/>
        <w:szCs w:val="16"/>
      </w:rPr>
      <w:fldChar w:fldCharType="separate"/>
    </w:r>
    <w:r w:rsidRPr="00090DAA">
      <w:rPr>
        <w:rStyle w:val="tevilkastrani"/>
        <w:noProof/>
        <w:sz w:val="16"/>
        <w:szCs w:val="16"/>
      </w:rPr>
      <w:t>1</w:t>
    </w:r>
    <w:r w:rsidRPr="00090DAA">
      <w:rPr>
        <w:rStyle w:val="tevilkastrani"/>
        <w:sz w:val="16"/>
        <w:szCs w:val="16"/>
      </w:rPr>
      <w:fldChar w:fldCharType="end"/>
    </w:r>
  </w:p>
  <w:p w14:paraId="56E1FA0D" w14:textId="77777777" w:rsidR="00763E37" w:rsidRPr="00090DAA" w:rsidRDefault="00763E37">
    <w:pPr>
      <w:pStyle w:val="Nog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37C1" w14:textId="33F2F9C9" w:rsidR="00763E37" w:rsidRPr="00090DAA" w:rsidRDefault="00763E37" w:rsidP="003D3841">
    <w:pPr>
      <w:pStyle w:val="Noga"/>
      <w:framePr w:wrap="around" w:vAnchor="text" w:hAnchor="margin" w:xAlign="right" w:y="1"/>
      <w:rPr>
        <w:rStyle w:val="tevilkastrani"/>
        <w:sz w:val="16"/>
        <w:szCs w:val="16"/>
      </w:rPr>
    </w:pPr>
    <w:r w:rsidRPr="00090DAA">
      <w:rPr>
        <w:rStyle w:val="tevilkastrani"/>
        <w:sz w:val="16"/>
        <w:szCs w:val="16"/>
      </w:rPr>
      <w:fldChar w:fldCharType="begin"/>
    </w:r>
    <w:r w:rsidRPr="00090DAA">
      <w:rPr>
        <w:rStyle w:val="tevilkastrani"/>
        <w:sz w:val="16"/>
        <w:szCs w:val="16"/>
      </w:rPr>
      <w:instrText xml:space="preserve">PAGE  </w:instrText>
    </w:r>
    <w:r w:rsidRPr="00090DAA">
      <w:rPr>
        <w:rStyle w:val="tevilkastrani"/>
        <w:sz w:val="16"/>
        <w:szCs w:val="16"/>
      </w:rPr>
      <w:fldChar w:fldCharType="separate"/>
    </w:r>
    <w:r w:rsidR="000342BC">
      <w:rPr>
        <w:rStyle w:val="tevilkastrani"/>
        <w:noProof/>
        <w:sz w:val="16"/>
        <w:szCs w:val="16"/>
      </w:rPr>
      <w:t>1</w:t>
    </w:r>
    <w:r w:rsidRPr="00090DAA">
      <w:rPr>
        <w:rStyle w:val="tevilkastrani"/>
        <w:sz w:val="16"/>
        <w:szCs w:val="16"/>
      </w:rPr>
      <w:fldChar w:fldCharType="end"/>
    </w:r>
  </w:p>
  <w:p w14:paraId="099BB7E4" w14:textId="77777777" w:rsidR="00763E37" w:rsidRPr="00090DAA" w:rsidRDefault="00763E37">
    <w:pPr>
      <w:pStyle w:val="Nog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315AA" w14:textId="77777777" w:rsidR="00763E37" w:rsidRDefault="00763E37">
      <w:r>
        <w:separator/>
      </w:r>
    </w:p>
  </w:footnote>
  <w:footnote w:type="continuationSeparator" w:id="0">
    <w:p w14:paraId="1B0E5F01" w14:textId="77777777" w:rsidR="00763E37" w:rsidRDefault="00763E37">
      <w:r>
        <w:continuationSeparator/>
      </w:r>
    </w:p>
  </w:footnote>
  <w:footnote w:id="1">
    <w:p w14:paraId="499F4AD9" w14:textId="767733B8" w:rsidR="008B35E8" w:rsidRPr="002677C8" w:rsidRDefault="008B35E8">
      <w:pPr>
        <w:pStyle w:val="Sprotnaopomba-besedilo"/>
        <w:rPr>
          <w:rFonts w:asciiTheme="minorHAnsi" w:hAnsiTheme="minorHAnsi"/>
        </w:rPr>
      </w:pPr>
      <w:r>
        <w:rPr>
          <w:rStyle w:val="Sprotnaopomba-sklic"/>
        </w:rPr>
        <w:footnoteRef/>
      </w:r>
      <w:r>
        <w:t xml:space="preserve"> </w:t>
      </w:r>
      <w:r w:rsidR="005F222F" w:rsidRPr="002677C8">
        <w:rPr>
          <w:rFonts w:asciiTheme="minorHAnsi" w:hAnsiTheme="minorHAnsi"/>
        </w:rPr>
        <w:t xml:space="preserve">navedeni </w:t>
      </w:r>
      <w:r w:rsidR="009E5564">
        <w:rPr>
          <w:rFonts w:asciiTheme="minorHAnsi" w:hAnsiTheme="minorHAnsi"/>
        </w:rPr>
        <w:t xml:space="preserve">tudi </w:t>
      </w:r>
      <w:r w:rsidR="005F222F" w:rsidRPr="002677C8">
        <w:rPr>
          <w:rFonts w:asciiTheme="minorHAnsi" w:hAnsiTheme="minorHAnsi"/>
        </w:rPr>
        <w:t xml:space="preserve">v </w:t>
      </w:r>
      <w:r w:rsidR="005226D2" w:rsidRPr="002677C8">
        <w:rPr>
          <w:rFonts w:asciiTheme="minorHAnsi" w:hAnsiTheme="minorHAnsi" w:cs="Arial"/>
        </w:rPr>
        <w:t>B. I Priloge IV</w:t>
      </w:r>
      <w:r w:rsidR="005226D2" w:rsidRPr="002677C8">
        <w:rPr>
          <w:rFonts w:asciiTheme="minorHAnsi" w:hAnsiTheme="minorHAnsi"/>
        </w:rPr>
        <w:t xml:space="preserve"> </w:t>
      </w:r>
      <w:r w:rsidRPr="002677C8">
        <w:rPr>
          <w:rFonts w:asciiTheme="minorHAnsi" w:hAnsiTheme="minorHAnsi"/>
        </w:rPr>
        <w:t>Izvedben</w:t>
      </w:r>
      <w:r w:rsidR="005F222F" w:rsidRPr="00483607">
        <w:rPr>
          <w:rFonts w:asciiTheme="minorHAnsi" w:hAnsiTheme="minorHAnsi"/>
        </w:rPr>
        <w:t>e</w:t>
      </w:r>
      <w:r w:rsidRPr="002677C8">
        <w:rPr>
          <w:rFonts w:asciiTheme="minorHAnsi" w:hAnsiTheme="minorHAnsi"/>
        </w:rPr>
        <w:t xml:space="preserve"> uredba Komisije (EU) 2015/220 o določitvi pravil za uporabo Uredbe Sveta (ES) št. 1217/2009 o vzpostavitvi mreže za zbiranje računovodskih podatkov o dohodkih in poslovanju kmetijskih gospodarstev v Evropski uniji</w:t>
      </w:r>
      <w:r w:rsidR="00720456">
        <w:rPr>
          <w:rFonts w:asciiTheme="minorHAnsi" w:hAnsiTheme="minorHAnsi"/>
        </w:rPr>
        <w:t xml:space="preserve"> (z dopolnitvami)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8D8"/>
    <w:multiLevelType w:val="hybridMultilevel"/>
    <w:tmpl w:val="89D8BE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235"/>
    <w:multiLevelType w:val="hybridMultilevel"/>
    <w:tmpl w:val="CFB046BA"/>
    <w:lvl w:ilvl="0" w:tplc="B758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5E7C"/>
    <w:multiLevelType w:val="hybridMultilevel"/>
    <w:tmpl w:val="1C0EB52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8093AB5"/>
    <w:multiLevelType w:val="multilevel"/>
    <w:tmpl w:val="6BE832C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pStyle w:val="Naslov3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C75F4F"/>
    <w:multiLevelType w:val="multilevel"/>
    <w:tmpl w:val="F60266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3292C"/>
    <w:multiLevelType w:val="hybridMultilevel"/>
    <w:tmpl w:val="5EA200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11E7"/>
    <w:multiLevelType w:val="hybridMultilevel"/>
    <w:tmpl w:val="29C0F98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52EC1"/>
    <w:multiLevelType w:val="hybridMultilevel"/>
    <w:tmpl w:val="673497E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3638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5629F5"/>
    <w:multiLevelType w:val="hybridMultilevel"/>
    <w:tmpl w:val="B3DA509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3139D"/>
    <w:multiLevelType w:val="hybridMultilevel"/>
    <w:tmpl w:val="5ECAC5C4"/>
    <w:lvl w:ilvl="0" w:tplc="A43E5C8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11" w15:restartNumberingAfterBreak="0">
    <w:nsid w:val="3F043850"/>
    <w:multiLevelType w:val="hybridMultilevel"/>
    <w:tmpl w:val="8C8C44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92FA8"/>
    <w:multiLevelType w:val="hybridMultilevel"/>
    <w:tmpl w:val="EE0CE6B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C78E7"/>
    <w:multiLevelType w:val="hybridMultilevel"/>
    <w:tmpl w:val="F602665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453E8"/>
    <w:multiLevelType w:val="hybridMultilevel"/>
    <w:tmpl w:val="6BFC0338"/>
    <w:lvl w:ilvl="0" w:tplc="829AF4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5F5"/>
    <w:multiLevelType w:val="hybridMultilevel"/>
    <w:tmpl w:val="ADE0F87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16" w15:restartNumberingAfterBreak="0">
    <w:nsid w:val="4E4565CD"/>
    <w:multiLevelType w:val="hybridMultilevel"/>
    <w:tmpl w:val="5330B37A"/>
    <w:lvl w:ilvl="0" w:tplc="829AF4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B0F41"/>
    <w:multiLevelType w:val="hybridMultilevel"/>
    <w:tmpl w:val="B9B60DD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8CF5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C732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0828D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CEC1624"/>
    <w:multiLevelType w:val="hybridMultilevel"/>
    <w:tmpl w:val="84F88B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8CF5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7D2F8D"/>
    <w:multiLevelType w:val="hybridMultilevel"/>
    <w:tmpl w:val="F00473CA"/>
    <w:lvl w:ilvl="0" w:tplc="829AF49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A8006F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8A3E9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17F6EEB"/>
    <w:multiLevelType w:val="hybridMultilevel"/>
    <w:tmpl w:val="6C2C41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6A3CDF"/>
    <w:multiLevelType w:val="hybridMultilevel"/>
    <w:tmpl w:val="9A3ED5F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B309EE"/>
    <w:multiLevelType w:val="hybridMultilevel"/>
    <w:tmpl w:val="11B6F3E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5632DE"/>
    <w:multiLevelType w:val="hybridMultilevel"/>
    <w:tmpl w:val="68F296F6"/>
    <w:lvl w:ilvl="0" w:tplc="829AF4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E3EF6"/>
    <w:multiLevelType w:val="hybridMultilevel"/>
    <w:tmpl w:val="576AD794"/>
    <w:lvl w:ilvl="0" w:tplc="829AF4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23"/>
  </w:num>
  <w:num w:numId="5">
    <w:abstractNumId w:val="8"/>
  </w:num>
  <w:num w:numId="6">
    <w:abstractNumId w:val="19"/>
  </w:num>
  <w:num w:numId="7">
    <w:abstractNumId w:val="26"/>
  </w:num>
  <w:num w:numId="8">
    <w:abstractNumId w:val="24"/>
  </w:num>
  <w:num w:numId="9">
    <w:abstractNumId w:val="11"/>
  </w:num>
  <w:num w:numId="10">
    <w:abstractNumId w:val="20"/>
  </w:num>
  <w:num w:numId="11">
    <w:abstractNumId w:val="6"/>
  </w:num>
  <w:num w:numId="12">
    <w:abstractNumId w:val="5"/>
  </w:num>
  <w:num w:numId="13">
    <w:abstractNumId w:val="0"/>
  </w:num>
  <w:num w:numId="14">
    <w:abstractNumId w:val="17"/>
  </w:num>
  <w:num w:numId="15">
    <w:abstractNumId w:val="25"/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9"/>
  </w:num>
  <w:num w:numId="21">
    <w:abstractNumId w:val="1"/>
  </w:num>
  <w:num w:numId="22">
    <w:abstractNumId w:val="13"/>
  </w:num>
  <w:num w:numId="23">
    <w:abstractNumId w:val="4"/>
  </w:num>
  <w:num w:numId="24">
    <w:abstractNumId w:val="2"/>
  </w:num>
  <w:num w:numId="25">
    <w:abstractNumId w:val="21"/>
  </w:num>
  <w:num w:numId="26">
    <w:abstractNumId w:val="14"/>
  </w:num>
  <w:num w:numId="27">
    <w:abstractNumId w:val="16"/>
  </w:num>
  <w:num w:numId="28">
    <w:abstractNumId w:val="28"/>
  </w:num>
  <w:num w:numId="29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FD"/>
    <w:rsid w:val="00003FD3"/>
    <w:rsid w:val="00007C83"/>
    <w:rsid w:val="00011F33"/>
    <w:rsid w:val="00016DE2"/>
    <w:rsid w:val="00020D24"/>
    <w:rsid w:val="000233D6"/>
    <w:rsid w:val="000234DA"/>
    <w:rsid w:val="00033FA4"/>
    <w:rsid w:val="000342BC"/>
    <w:rsid w:val="00040F00"/>
    <w:rsid w:val="00041C6E"/>
    <w:rsid w:val="00050542"/>
    <w:rsid w:val="00053D5A"/>
    <w:rsid w:val="00056035"/>
    <w:rsid w:val="000565D7"/>
    <w:rsid w:val="00071C94"/>
    <w:rsid w:val="000734A5"/>
    <w:rsid w:val="000745B5"/>
    <w:rsid w:val="00075A39"/>
    <w:rsid w:val="00086516"/>
    <w:rsid w:val="000876EC"/>
    <w:rsid w:val="00090DAA"/>
    <w:rsid w:val="00092FEC"/>
    <w:rsid w:val="00093DA7"/>
    <w:rsid w:val="00095B35"/>
    <w:rsid w:val="00096244"/>
    <w:rsid w:val="000973B7"/>
    <w:rsid w:val="000A059C"/>
    <w:rsid w:val="000A2BB5"/>
    <w:rsid w:val="000A5D05"/>
    <w:rsid w:val="000A5FDD"/>
    <w:rsid w:val="000A7695"/>
    <w:rsid w:val="000B0F2B"/>
    <w:rsid w:val="000B2AB1"/>
    <w:rsid w:val="000C32D3"/>
    <w:rsid w:val="000C63FC"/>
    <w:rsid w:val="000D7995"/>
    <w:rsid w:val="000F44EA"/>
    <w:rsid w:val="00101D74"/>
    <w:rsid w:val="001142C9"/>
    <w:rsid w:val="00120DBA"/>
    <w:rsid w:val="0013107F"/>
    <w:rsid w:val="00133332"/>
    <w:rsid w:val="001362A0"/>
    <w:rsid w:val="0014782A"/>
    <w:rsid w:val="00150A59"/>
    <w:rsid w:val="001537BD"/>
    <w:rsid w:val="00156EA1"/>
    <w:rsid w:val="00160472"/>
    <w:rsid w:val="00162F6B"/>
    <w:rsid w:val="001649A1"/>
    <w:rsid w:val="00165BE1"/>
    <w:rsid w:val="00165D84"/>
    <w:rsid w:val="00167C5F"/>
    <w:rsid w:val="00175159"/>
    <w:rsid w:val="00185507"/>
    <w:rsid w:val="00186E95"/>
    <w:rsid w:val="00194FA4"/>
    <w:rsid w:val="001967FE"/>
    <w:rsid w:val="001A6CFE"/>
    <w:rsid w:val="001B08FF"/>
    <w:rsid w:val="001B2A0C"/>
    <w:rsid w:val="001B5B85"/>
    <w:rsid w:val="001C2ECC"/>
    <w:rsid w:val="001D25EA"/>
    <w:rsid w:val="001D36F1"/>
    <w:rsid w:val="001D73C5"/>
    <w:rsid w:val="001D7A75"/>
    <w:rsid w:val="001F1400"/>
    <w:rsid w:val="001F1412"/>
    <w:rsid w:val="001F144D"/>
    <w:rsid w:val="001F4566"/>
    <w:rsid w:val="001F4BCF"/>
    <w:rsid w:val="00201820"/>
    <w:rsid w:val="00203DEE"/>
    <w:rsid w:val="00204159"/>
    <w:rsid w:val="00207115"/>
    <w:rsid w:val="00212837"/>
    <w:rsid w:val="002246CB"/>
    <w:rsid w:val="00224C1C"/>
    <w:rsid w:val="00224D0E"/>
    <w:rsid w:val="002255AF"/>
    <w:rsid w:val="0023059E"/>
    <w:rsid w:val="00235244"/>
    <w:rsid w:val="0024030D"/>
    <w:rsid w:val="002454A3"/>
    <w:rsid w:val="00246810"/>
    <w:rsid w:val="00252C7F"/>
    <w:rsid w:val="00262942"/>
    <w:rsid w:val="00266D43"/>
    <w:rsid w:val="002677C8"/>
    <w:rsid w:val="002679A5"/>
    <w:rsid w:val="00272AB1"/>
    <w:rsid w:val="00274307"/>
    <w:rsid w:val="0027569E"/>
    <w:rsid w:val="00281082"/>
    <w:rsid w:val="002841B1"/>
    <w:rsid w:val="0028560E"/>
    <w:rsid w:val="002858EB"/>
    <w:rsid w:val="00287058"/>
    <w:rsid w:val="002904B3"/>
    <w:rsid w:val="00290A30"/>
    <w:rsid w:val="002A39FA"/>
    <w:rsid w:val="002A4FA3"/>
    <w:rsid w:val="002A592A"/>
    <w:rsid w:val="002B48E4"/>
    <w:rsid w:val="002B6AD3"/>
    <w:rsid w:val="002C0EA8"/>
    <w:rsid w:val="002C4958"/>
    <w:rsid w:val="002C581F"/>
    <w:rsid w:val="002D095A"/>
    <w:rsid w:val="002E26EF"/>
    <w:rsid w:val="002E2E47"/>
    <w:rsid w:val="002E71C2"/>
    <w:rsid w:val="002F0B63"/>
    <w:rsid w:val="002F396F"/>
    <w:rsid w:val="002F4F7C"/>
    <w:rsid w:val="00303847"/>
    <w:rsid w:val="00311E8A"/>
    <w:rsid w:val="0031470A"/>
    <w:rsid w:val="00321534"/>
    <w:rsid w:val="003242A8"/>
    <w:rsid w:val="00326DD6"/>
    <w:rsid w:val="00343644"/>
    <w:rsid w:val="00344F94"/>
    <w:rsid w:val="00347E3F"/>
    <w:rsid w:val="003620A6"/>
    <w:rsid w:val="0036224A"/>
    <w:rsid w:val="003723F7"/>
    <w:rsid w:val="003757D5"/>
    <w:rsid w:val="00380E21"/>
    <w:rsid w:val="00382898"/>
    <w:rsid w:val="00387806"/>
    <w:rsid w:val="00392728"/>
    <w:rsid w:val="00395603"/>
    <w:rsid w:val="00395B92"/>
    <w:rsid w:val="003A7276"/>
    <w:rsid w:val="003B2514"/>
    <w:rsid w:val="003C736F"/>
    <w:rsid w:val="003D3761"/>
    <w:rsid w:val="003D3841"/>
    <w:rsid w:val="00400887"/>
    <w:rsid w:val="00421F51"/>
    <w:rsid w:val="0042379A"/>
    <w:rsid w:val="00424C1A"/>
    <w:rsid w:val="00426802"/>
    <w:rsid w:val="0043239D"/>
    <w:rsid w:val="00434F68"/>
    <w:rsid w:val="0044093F"/>
    <w:rsid w:val="0044362F"/>
    <w:rsid w:val="0044445F"/>
    <w:rsid w:val="0045275F"/>
    <w:rsid w:val="004529A5"/>
    <w:rsid w:val="00455732"/>
    <w:rsid w:val="00460F8C"/>
    <w:rsid w:val="00462A60"/>
    <w:rsid w:val="004667D8"/>
    <w:rsid w:val="0047164E"/>
    <w:rsid w:val="00477566"/>
    <w:rsid w:val="00483607"/>
    <w:rsid w:val="004863DD"/>
    <w:rsid w:val="00490E24"/>
    <w:rsid w:val="0049264A"/>
    <w:rsid w:val="004A5E71"/>
    <w:rsid w:val="004B6529"/>
    <w:rsid w:val="004C2402"/>
    <w:rsid w:val="004C6E63"/>
    <w:rsid w:val="004D1D9D"/>
    <w:rsid w:val="004D43E1"/>
    <w:rsid w:val="004D6916"/>
    <w:rsid w:val="004D6F09"/>
    <w:rsid w:val="004F11D5"/>
    <w:rsid w:val="004F6319"/>
    <w:rsid w:val="004F6573"/>
    <w:rsid w:val="00501E57"/>
    <w:rsid w:val="00503E55"/>
    <w:rsid w:val="00504281"/>
    <w:rsid w:val="00514C98"/>
    <w:rsid w:val="005173B6"/>
    <w:rsid w:val="005226D2"/>
    <w:rsid w:val="00523E30"/>
    <w:rsid w:val="005462C3"/>
    <w:rsid w:val="00551F0D"/>
    <w:rsid w:val="0055225A"/>
    <w:rsid w:val="00552E36"/>
    <w:rsid w:val="00554654"/>
    <w:rsid w:val="00562D21"/>
    <w:rsid w:val="00564D92"/>
    <w:rsid w:val="00566417"/>
    <w:rsid w:val="00570532"/>
    <w:rsid w:val="00577D7B"/>
    <w:rsid w:val="0058212C"/>
    <w:rsid w:val="00583DE5"/>
    <w:rsid w:val="00584F35"/>
    <w:rsid w:val="00586FF4"/>
    <w:rsid w:val="00591E31"/>
    <w:rsid w:val="00593D23"/>
    <w:rsid w:val="005953E7"/>
    <w:rsid w:val="005A22F3"/>
    <w:rsid w:val="005A25D1"/>
    <w:rsid w:val="005B1742"/>
    <w:rsid w:val="005C1256"/>
    <w:rsid w:val="005C2BE6"/>
    <w:rsid w:val="005D1246"/>
    <w:rsid w:val="005E7694"/>
    <w:rsid w:val="005F137D"/>
    <w:rsid w:val="005F222F"/>
    <w:rsid w:val="005F42B6"/>
    <w:rsid w:val="00602BD1"/>
    <w:rsid w:val="0060575F"/>
    <w:rsid w:val="0061129D"/>
    <w:rsid w:val="00611974"/>
    <w:rsid w:val="00614AE5"/>
    <w:rsid w:val="006161A6"/>
    <w:rsid w:val="00623111"/>
    <w:rsid w:val="00623AF5"/>
    <w:rsid w:val="00626C40"/>
    <w:rsid w:val="00642B5C"/>
    <w:rsid w:val="00655A11"/>
    <w:rsid w:val="00657C3A"/>
    <w:rsid w:val="00664897"/>
    <w:rsid w:val="00682978"/>
    <w:rsid w:val="00685704"/>
    <w:rsid w:val="0069115B"/>
    <w:rsid w:val="00691710"/>
    <w:rsid w:val="0069325B"/>
    <w:rsid w:val="006A000D"/>
    <w:rsid w:val="006B16F8"/>
    <w:rsid w:val="006B3BFE"/>
    <w:rsid w:val="006C461C"/>
    <w:rsid w:val="006D5162"/>
    <w:rsid w:val="006D7935"/>
    <w:rsid w:val="006E48BC"/>
    <w:rsid w:val="006E5B09"/>
    <w:rsid w:val="006E6B18"/>
    <w:rsid w:val="006F5A01"/>
    <w:rsid w:val="0070144B"/>
    <w:rsid w:val="007023AB"/>
    <w:rsid w:val="00713519"/>
    <w:rsid w:val="00716F7E"/>
    <w:rsid w:val="00720456"/>
    <w:rsid w:val="00722604"/>
    <w:rsid w:val="007334A4"/>
    <w:rsid w:val="00735744"/>
    <w:rsid w:val="0073788D"/>
    <w:rsid w:val="007411D4"/>
    <w:rsid w:val="00745244"/>
    <w:rsid w:val="00751C9E"/>
    <w:rsid w:val="00763E37"/>
    <w:rsid w:val="00765747"/>
    <w:rsid w:val="00765AAF"/>
    <w:rsid w:val="00766614"/>
    <w:rsid w:val="00776A9D"/>
    <w:rsid w:val="0078648F"/>
    <w:rsid w:val="0079231B"/>
    <w:rsid w:val="00793756"/>
    <w:rsid w:val="00795063"/>
    <w:rsid w:val="007A5577"/>
    <w:rsid w:val="007A77FC"/>
    <w:rsid w:val="007B3F6C"/>
    <w:rsid w:val="007C58D8"/>
    <w:rsid w:val="007C5CC2"/>
    <w:rsid w:val="007D1805"/>
    <w:rsid w:val="007D190E"/>
    <w:rsid w:val="007D7849"/>
    <w:rsid w:val="007E1363"/>
    <w:rsid w:val="007F0B2C"/>
    <w:rsid w:val="007F5D05"/>
    <w:rsid w:val="00801AEB"/>
    <w:rsid w:val="008133E6"/>
    <w:rsid w:val="008143FF"/>
    <w:rsid w:val="00816F62"/>
    <w:rsid w:val="00836CFA"/>
    <w:rsid w:val="00852070"/>
    <w:rsid w:val="00854DCF"/>
    <w:rsid w:val="00854DF5"/>
    <w:rsid w:val="0086726F"/>
    <w:rsid w:val="00870A66"/>
    <w:rsid w:val="00874AA0"/>
    <w:rsid w:val="0088300F"/>
    <w:rsid w:val="00884C13"/>
    <w:rsid w:val="008860F7"/>
    <w:rsid w:val="00886120"/>
    <w:rsid w:val="008901FC"/>
    <w:rsid w:val="008933F5"/>
    <w:rsid w:val="008A4235"/>
    <w:rsid w:val="008A5CAF"/>
    <w:rsid w:val="008B35E8"/>
    <w:rsid w:val="008B66C3"/>
    <w:rsid w:val="008C51DF"/>
    <w:rsid w:val="008D074B"/>
    <w:rsid w:val="008D3EC3"/>
    <w:rsid w:val="008D6CD6"/>
    <w:rsid w:val="008D6E2D"/>
    <w:rsid w:val="008E0B45"/>
    <w:rsid w:val="008E5179"/>
    <w:rsid w:val="008F0B7A"/>
    <w:rsid w:val="00900F98"/>
    <w:rsid w:val="00905535"/>
    <w:rsid w:val="0091042B"/>
    <w:rsid w:val="00910D72"/>
    <w:rsid w:val="00911370"/>
    <w:rsid w:val="0091711D"/>
    <w:rsid w:val="00917821"/>
    <w:rsid w:val="00920A2A"/>
    <w:rsid w:val="00926C17"/>
    <w:rsid w:val="00937DB3"/>
    <w:rsid w:val="0094071E"/>
    <w:rsid w:val="00944872"/>
    <w:rsid w:val="009511CC"/>
    <w:rsid w:val="00953E0E"/>
    <w:rsid w:val="00955A04"/>
    <w:rsid w:val="00960BC1"/>
    <w:rsid w:val="00961429"/>
    <w:rsid w:val="009617E7"/>
    <w:rsid w:val="00983BB4"/>
    <w:rsid w:val="00987428"/>
    <w:rsid w:val="009909DF"/>
    <w:rsid w:val="009A0190"/>
    <w:rsid w:val="009A0DE8"/>
    <w:rsid w:val="009A181B"/>
    <w:rsid w:val="009A7F5F"/>
    <w:rsid w:val="009B584A"/>
    <w:rsid w:val="009C1DC9"/>
    <w:rsid w:val="009C7E9B"/>
    <w:rsid w:val="009E52AA"/>
    <w:rsid w:val="009E5564"/>
    <w:rsid w:val="009E6CE4"/>
    <w:rsid w:val="009F591B"/>
    <w:rsid w:val="00A03F4C"/>
    <w:rsid w:val="00A05009"/>
    <w:rsid w:val="00A10D05"/>
    <w:rsid w:val="00A13A6A"/>
    <w:rsid w:val="00A1402A"/>
    <w:rsid w:val="00A36701"/>
    <w:rsid w:val="00A370DA"/>
    <w:rsid w:val="00A41829"/>
    <w:rsid w:val="00A4341D"/>
    <w:rsid w:val="00A5197A"/>
    <w:rsid w:val="00A70680"/>
    <w:rsid w:val="00A71069"/>
    <w:rsid w:val="00A734BB"/>
    <w:rsid w:val="00A95BAD"/>
    <w:rsid w:val="00AA685B"/>
    <w:rsid w:val="00AB1C9B"/>
    <w:rsid w:val="00AC40A6"/>
    <w:rsid w:val="00AD16A3"/>
    <w:rsid w:val="00AD17CE"/>
    <w:rsid w:val="00AD44FD"/>
    <w:rsid w:val="00AE0E2D"/>
    <w:rsid w:val="00AE28AB"/>
    <w:rsid w:val="00AE5E7D"/>
    <w:rsid w:val="00AF049E"/>
    <w:rsid w:val="00AF431A"/>
    <w:rsid w:val="00B04F3B"/>
    <w:rsid w:val="00B05D7B"/>
    <w:rsid w:val="00B11B4D"/>
    <w:rsid w:val="00B151F8"/>
    <w:rsid w:val="00B25256"/>
    <w:rsid w:val="00B25A82"/>
    <w:rsid w:val="00B25D53"/>
    <w:rsid w:val="00B3119A"/>
    <w:rsid w:val="00B32A44"/>
    <w:rsid w:val="00B43915"/>
    <w:rsid w:val="00B52A1D"/>
    <w:rsid w:val="00B63912"/>
    <w:rsid w:val="00B7271F"/>
    <w:rsid w:val="00B73226"/>
    <w:rsid w:val="00B73F78"/>
    <w:rsid w:val="00B752E5"/>
    <w:rsid w:val="00B84FAC"/>
    <w:rsid w:val="00B85F9F"/>
    <w:rsid w:val="00B90E01"/>
    <w:rsid w:val="00BA159E"/>
    <w:rsid w:val="00BB24D7"/>
    <w:rsid w:val="00BB63DA"/>
    <w:rsid w:val="00BC0044"/>
    <w:rsid w:val="00BC0A43"/>
    <w:rsid w:val="00BC59C5"/>
    <w:rsid w:val="00BE14A9"/>
    <w:rsid w:val="00BE3C17"/>
    <w:rsid w:val="00BE57A7"/>
    <w:rsid w:val="00BE5D3C"/>
    <w:rsid w:val="00BE749D"/>
    <w:rsid w:val="00BF0FD8"/>
    <w:rsid w:val="00BF1B9D"/>
    <w:rsid w:val="00C07430"/>
    <w:rsid w:val="00C1067A"/>
    <w:rsid w:val="00C1069D"/>
    <w:rsid w:val="00C14BD5"/>
    <w:rsid w:val="00C20B0A"/>
    <w:rsid w:val="00C243A7"/>
    <w:rsid w:val="00C24CB2"/>
    <w:rsid w:val="00C439B2"/>
    <w:rsid w:val="00C4438B"/>
    <w:rsid w:val="00C505F6"/>
    <w:rsid w:val="00C5355A"/>
    <w:rsid w:val="00C55B1B"/>
    <w:rsid w:val="00C60ACB"/>
    <w:rsid w:val="00C80FBB"/>
    <w:rsid w:val="00C82A03"/>
    <w:rsid w:val="00C82A0B"/>
    <w:rsid w:val="00C92854"/>
    <w:rsid w:val="00CA7DD0"/>
    <w:rsid w:val="00CB0F7E"/>
    <w:rsid w:val="00CB1A4E"/>
    <w:rsid w:val="00CB603A"/>
    <w:rsid w:val="00CC09F6"/>
    <w:rsid w:val="00CC4093"/>
    <w:rsid w:val="00CD670F"/>
    <w:rsid w:val="00CD6FFD"/>
    <w:rsid w:val="00CE026A"/>
    <w:rsid w:val="00CE50CC"/>
    <w:rsid w:val="00CF0310"/>
    <w:rsid w:val="00CF2AC2"/>
    <w:rsid w:val="00CF3887"/>
    <w:rsid w:val="00CF4FC4"/>
    <w:rsid w:val="00CF5ADA"/>
    <w:rsid w:val="00CF6E63"/>
    <w:rsid w:val="00D0100A"/>
    <w:rsid w:val="00D04E4E"/>
    <w:rsid w:val="00D072CB"/>
    <w:rsid w:val="00D118C2"/>
    <w:rsid w:val="00D11A92"/>
    <w:rsid w:val="00D16EA9"/>
    <w:rsid w:val="00D22C8D"/>
    <w:rsid w:val="00D233D2"/>
    <w:rsid w:val="00D335FB"/>
    <w:rsid w:val="00D34A65"/>
    <w:rsid w:val="00D362FD"/>
    <w:rsid w:val="00D36A4E"/>
    <w:rsid w:val="00D42C99"/>
    <w:rsid w:val="00D569C4"/>
    <w:rsid w:val="00D600CA"/>
    <w:rsid w:val="00D77655"/>
    <w:rsid w:val="00D77D12"/>
    <w:rsid w:val="00D85843"/>
    <w:rsid w:val="00D86C24"/>
    <w:rsid w:val="00D93F3A"/>
    <w:rsid w:val="00D9612A"/>
    <w:rsid w:val="00D961AD"/>
    <w:rsid w:val="00DA0A61"/>
    <w:rsid w:val="00DA38E2"/>
    <w:rsid w:val="00DA5E33"/>
    <w:rsid w:val="00DB0479"/>
    <w:rsid w:val="00DB2B62"/>
    <w:rsid w:val="00DB3C20"/>
    <w:rsid w:val="00DB3C99"/>
    <w:rsid w:val="00DB6554"/>
    <w:rsid w:val="00DB71D4"/>
    <w:rsid w:val="00DC0032"/>
    <w:rsid w:val="00DD2F74"/>
    <w:rsid w:val="00DD4C03"/>
    <w:rsid w:val="00DD5F09"/>
    <w:rsid w:val="00DD79BD"/>
    <w:rsid w:val="00DE02B9"/>
    <w:rsid w:val="00DE53F7"/>
    <w:rsid w:val="00DE6F24"/>
    <w:rsid w:val="00DE7034"/>
    <w:rsid w:val="00DF6DA3"/>
    <w:rsid w:val="00E171D3"/>
    <w:rsid w:val="00E31416"/>
    <w:rsid w:val="00E315CE"/>
    <w:rsid w:val="00E3451E"/>
    <w:rsid w:val="00E376DA"/>
    <w:rsid w:val="00E45FEB"/>
    <w:rsid w:val="00E5271C"/>
    <w:rsid w:val="00E5502C"/>
    <w:rsid w:val="00E56696"/>
    <w:rsid w:val="00E61D67"/>
    <w:rsid w:val="00E6315B"/>
    <w:rsid w:val="00E63695"/>
    <w:rsid w:val="00E64CEE"/>
    <w:rsid w:val="00E668DD"/>
    <w:rsid w:val="00E67AEB"/>
    <w:rsid w:val="00E71167"/>
    <w:rsid w:val="00E834EA"/>
    <w:rsid w:val="00E85952"/>
    <w:rsid w:val="00EA57F4"/>
    <w:rsid w:val="00EB6B96"/>
    <w:rsid w:val="00EC52EC"/>
    <w:rsid w:val="00EC6E81"/>
    <w:rsid w:val="00EC79F8"/>
    <w:rsid w:val="00ED6948"/>
    <w:rsid w:val="00ED6B5B"/>
    <w:rsid w:val="00EE0474"/>
    <w:rsid w:val="00EE78D9"/>
    <w:rsid w:val="00EF5301"/>
    <w:rsid w:val="00EF6D00"/>
    <w:rsid w:val="00F0321E"/>
    <w:rsid w:val="00F03FA6"/>
    <w:rsid w:val="00F05C00"/>
    <w:rsid w:val="00F06C50"/>
    <w:rsid w:val="00F178C4"/>
    <w:rsid w:val="00F17F44"/>
    <w:rsid w:val="00F205E6"/>
    <w:rsid w:val="00F26944"/>
    <w:rsid w:val="00F36E92"/>
    <w:rsid w:val="00F37EA9"/>
    <w:rsid w:val="00F50446"/>
    <w:rsid w:val="00F51BA9"/>
    <w:rsid w:val="00F52BB8"/>
    <w:rsid w:val="00F6192C"/>
    <w:rsid w:val="00F732CA"/>
    <w:rsid w:val="00F809AD"/>
    <w:rsid w:val="00F82D17"/>
    <w:rsid w:val="00F94D37"/>
    <w:rsid w:val="00FA3064"/>
    <w:rsid w:val="00FB4F60"/>
    <w:rsid w:val="00FB56AB"/>
    <w:rsid w:val="00FC2F22"/>
    <w:rsid w:val="00FC57B1"/>
    <w:rsid w:val="00FD7CA9"/>
    <w:rsid w:val="00FE68CB"/>
    <w:rsid w:val="00FE6F0D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93653"/>
  <w15:docId w15:val="{01702A22-D936-40E4-92C4-338A4D98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4C1C"/>
  </w:style>
  <w:style w:type="paragraph" w:styleId="Naslov1">
    <w:name w:val="heading 1"/>
    <w:basedOn w:val="Navaden"/>
    <w:next w:val="Navaden"/>
    <w:autoRedefine/>
    <w:qFormat/>
    <w:rsid w:val="00CB603A"/>
    <w:pPr>
      <w:keepNext/>
      <w:spacing w:before="240" w:after="60"/>
      <w:outlineLvl w:val="0"/>
    </w:pPr>
    <w:rPr>
      <w:b/>
      <w:snapToGrid w:val="0"/>
      <w:kern w:val="28"/>
      <w:sz w:val="28"/>
    </w:rPr>
  </w:style>
  <w:style w:type="paragraph" w:styleId="Naslov2">
    <w:name w:val="heading 2"/>
    <w:basedOn w:val="Navaden"/>
    <w:next w:val="Navaden"/>
    <w:autoRedefine/>
    <w:qFormat/>
    <w:rsid w:val="0027569E"/>
    <w:pPr>
      <w:keepNext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slov3">
    <w:name w:val="heading 3"/>
    <w:basedOn w:val="Navaden"/>
    <w:next w:val="Navaden"/>
    <w:qFormat/>
    <w:rsid w:val="00CB603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rsid w:val="00CB603A"/>
    <w:pPr>
      <w:keepNext/>
      <w:outlineLvl w:val="3"/>
    </w:pPr>
    <w:rPr>
      <w:b/>
      <w:sz w:val="24"/>
    </w:rPr>
  </w:style>
  <w:style w:type="paragraph" w:styleId="Naslov5">
    <w:name w:val="heading 5"/>
    <w:basedOn w:val="Navaden"/>
    <w:next w:val="Navaden"/>
    <w:qFormat/>
    <w:rsid w:val="00CB603A"/>
    <w:pPr>
      <w:keepNext/>
      <w:jc w:val="both"/>
      <w:outlineLvl w:val="4"/>
    </w:pPr>
    <w:rPr>
      <w:sz w:val="24"/>
    </w:rPr>
  </w:style>
  <w:style w:type="paragraph" w:styleId="Naslov6">
    <w:name w:val="heading 6"/>
    <w:basedOn w:val="Navaden"/>
    <w:next w:val="Navaden"/>
    <w:qFormat/>
    <w:rsid w:val="00CB603A"/>
    <w:pPr>
      <w:keepNext/>
      <w:jc w:val="center"/>
      <w:outlineLvl w:val="5"/>
    </w:pPr>
    <w:rPr>
      <w:rFonts w:ascii="Arial" w:hAnsi="Arial"/>
      <w:b/>
      <w:sz w:val="22"/>
    </w:rPr>
  </w:style>
  <w:style w:type="paragraph" w:styleId="Naslov7">
    <w:name w:val="heading 7"/>
    <w:basedOn w:val="Navaden"/>
    <w:next w:val="Navaden"/>
    <w:qFormat/>
    <w:rsid w:val="00CB603A"/>
    <w:pPr>
      <w:keepNext/>
      <w:outlineLvl w:val="6"/>
    </w:pPr>
    <w:rPr>
      <w:b/>
      <w:snapToGrid w:val="0"/>
      <w:sz w:val="26"/>
    </w:rPr>
  </w:style>
  <w:style w:type="paragraph" w:styleId="Naslov8">
    <w:name w:val="heading 8"/>
    <w:basedOn w:val="Navaden"/>
    <w:next w:val="Navaden"/>
    <w:qFormat/>
    <w:rsid w:val="00CB603A"/>
    <w:pPr>
      <w:keepNext/>
      <w:jc w:val="both"/>
      <w:outlineLvl w:val="7"/>
    </w:pPr>
    <w:rPr>
      <w:b/>
      <w:sz w:val="24"/>
    </w:rPr>
  </w:style>
  <w:style w:type="paragraph" w:styleId="Naslov9">
    <w:name w:val="heading 9"/>
    <w:basedOn w:val="Navaden"/>
    <w:next w:val="Navaden"/>
    <w:qFormat/>
    <w:rsid w:val="00CB603A"/>
    <w:pPr>
      <w:keepNext/>
      <w:outlineLvl w:val="8"/>
    </w:pPr>
    <w:rPr>
      <w:b/>
      <w:color w:val="FF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B603A"/>
    <w:pPr>
      <w:jc w:val="both"/>
    </w:pPr>
    <w:rPr>
      <w:sz w:val="24"/>
      <w:lang w:val="en-GB"/>
    </w:rPr>
  </w:style>
  <w:style w:type="paragraph" w:styleId="Telobesedila2">
    <w:name w:val="Body Text 2"/>
    <w:basedOn w:val="Navaden"/>
    <w:rsid w:val="00CB603A"/>
    <w:pPr>
      <w:spacing w:line="288" w:lineRule="auto"/>
    </w:pPr>
    <w:rPr>
      <w:sz w:val="24"/>
    </w:rPr>
  </w:style>
  <w:style w:type="paragraph" w:styleId="Naslov">
    <w:name w:val="Title"/>
    <w:basedOn w:val="Navaden"/>
    <w:autoRedefine/>
    <w:qFormat/>
    <w:rsid w:val="00CB603A"/>
    <w:pPr>
      <w:jc w:val="center"/>
    </w:pPr>
    <w:rPr>
      <w:rFonts w:ascii="Arial" w:hAnsi="Arial"/>
      <w:b/>
      <w:sz w:val="22"/>
    </w:rPr>
  </w:style>
  <w:style w:type="paragraph" w:styleId="Telobesedila-zamik2">
    <w:name w:val="Body Text Indent 2"/>
    <w:basedOn w:val="Navaden"/>
    <w:rsid w:val="00CB603A"/>
    <w:pPr>
      <w:ind w:left="426" w:hanging="426"/>
      <w:jc w:val="both"/>
    </w:pPr>
    <w:rPr>
      <w:rFonts w:ascii="Arial" w:hAnsi="Arial"/>
      <w:sz w:val="22"/>
    </w:rPr>
  </w:style>
  <w:style w:type="paragraph" w:styleId="Telobesedila3">
    <w:name w:val="Body Text 3"/>
    <w:basedOn w:val="Navaden"/>
    <w:rsid w:val="00CB603A"/>
    <w:rPr>
      <w:sz w:val="22"/>
    </w:rPr>
  </w:style>
  <w:style w:type="paragraph" w:customStyle="1" w:styleId="text">
    <w:name w:val="text"/>
    <w:basedOn w:val="Navaden"/>
    <w:rsid w:val="00CB603A"/>
    <w:pPr>
      <w:spacing w:before="60" w:after="60"/>
      <w:ind w:right="57"/>
      <w:jc w:val="both"/>
    </w:pPr>
    <w:rPr>
      <w:rFonts w:ascii="Arial" w:hAnsi="Arial"/>
      <w:spacing w:val="-2"/>
      <w:sz w:val="18"/>
      <w:lang w:val="en-GB"/>
    </w:rPr>
  </w:style>
  <w:style w:type="paragraph" w:styleId="Zgradbadokumenta">
    <w:name w:val="Document Map"/>
    <w:basedOn w:val="Navaden"/>
    <w:semiHidden/>
    <w:rsid w:val="00CB603A"/>
    <w:pPr>
      <w:shd w:val="clear" w:color="auto" w:fill="000080"/>
    </w:pPr>
    <w:rPr>
      <w:rFonts w:ascii="Tahoma" w:hAnsi="Tahoma"/>
    </w:rPr>
  </w:style>
  <w:style w:type="paragraph" w:styleId="Sprotnaopomba-besedilo">
    <w:name w:val="footnote text"/>
    <w:basedOn w:val="Navaden"/>
    <w:semiHidden/>
    <w:rsid w:val="00CB603A"/>
  </w:style>
  <w:style w:type="character" w:styleId="Sprotnaopomba-sklic">
    <w:name w:val="footnote reference"/>
    <w:aliases w:val="Footnote reference number,Footnote symbol,note TESI"/>
    <w:basedOn w:val="Privzetapisavaodstavka"/>
    <w:rsid w:val="00CB603A"/>
    <w:rPr>
      <w:vertAlign w:val="superscript"/>
    </w:rPr>
  </w:style>
  <w:style w:type="paragraph" w:styleId="Telobesedila-zamik">
    <w:name w:val="Body Text Indent"/>
    <w:basedOn w:val="Navaden"/>
    <w:rsid w:val="00CB603A"/>
    <w:pPr>
      <w:ind w:left="284"/>
      <w:jc w:val="both"/>
    </w:pPr>
    <w:rPr>
      <w:sz w:val="24"/>
    </w:rPr>
  </w:style>
  <w:style w:type="paragraph" w:styleId="Noga">
    <w:name w:val="footer"/>
    <w:basedOn w:val="Navaden"/>
    <w:rsid w:val="00CB603A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CB603A"/>
  </w:style>
  <w:style w:type="paragraph" w:customStyle="1" w:styleId="ZCom">
    <w:name w:val="Z_Com"/>
    <w:basedOn w:val="Navaden"/>
    <w:next w:val="ZDGName"/>
    <w:rsid w:val="003620A6"/>
    <w:pPr>
      <w:widowControl w:val="0"/>
      <w:ind w:right="85"/>
      <w:jc w:val="both"/>
    </w:pPr>
    <w:rPr>
      <w:rFonts w:ascii="Arial" w:hAnsi="Arial"/>
      <w:snapToGrid w:val="0"/>
      <w:sz w:val="24"/>
      <w:lang w:val="en-GB" w:eastAsia="en-US"/>
    </w:rPr>
  </w:style>
  <w:style w:type="paragraph" w:customStyle="1" w:styleId="ZDGName">
    <w:name w:val="Z_DGName"/>
    <w:basedOn w:val="Navaden"/>
    <w:rsid w:val="003620A6"/>
    <w:pPr>
      <w:widowControl w:val="0"/>
      <w:ind w:right="85"/>
      <w:jc w:val="both"/>
    </w:pPr>
    <w:rPr>
      <w:rFonts w:ascii="Arial" w:hAnsi="Arial"/>
      <w:snapToGrid w:val="0"/>
      <w:sz w:val="16"/>
      <w:lang w:val="en-GB" w:eastAsia="en-US"/>
    </w:rPr>
  </w:style>
  <w:style w:type="paragraph" w:styleId="Glava">
    <w:name w:val="header"/>
    <w:basedOn w:val="Navaden"/>
    <w:rsid w:val="00B25A82"/>
    <w:pPr>
      <w:tabs>
        <w:tab w:val="center" w:pos="4536"/>
        <w:tab w:val="right" w:pos="9072"/>
      </w:tabs>
    </w:pPr>
  </w:style>
  <w:style w:type="character" w:styleId="Krepko">
    <w:name w:val="Strong"/>
    <w:basedOn w:val="Privzetapisavaodstavka"/>
    <w:qFormat/>
    <w:rsid w:val="00252C7F"/>
    <w:rPr>
      <w:b/>
      <w:bCs/>
    </w:rPr>
  </w:style>
  <w:style w:type="table" w:styleId="Tabelapreprosta1">
    <w:name w:val="Table Simple 1"/>
    <w:basedOn w:val="Navadnatabela"/>
    <w:rsid w:val="007C58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Kazalovsebine2">
    <w:name w:val="toc 2"/>
    <w:basedOn w:val="Navaden"/>
    <w:next w:val="Navaden"/>
    <w:autoRedefine/>
    <w:semiHidden/>
    <w:rsid w:val="003D3841"/>
    <w:pPr>
      <w:ind w:left="200"/>
    </w:pPr>
  </w:style>
  <w:style w:type="character" w:styleId="Hiperpovezava">
    <w:name w:val="Hyperlink"/>
    <w:basedOn w:val="Privzetapisavaodstavka"/>
    <w:rsid w:val="006161A6"/>
    <w:rPr>
      <w:color w:val="0000FF"/>
      <w:u w:val="single"/>
    </w:rPr>
  </w:style>
  <w:style w:type="table" w:styleId="Tabelamrea">
    <w:name w:val="Table Grid"/>
    <w:basedOn w:val="Navadnatabela"/>
    <w:rsid w:val="00FE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omba">
    <w:name w:val="opomba"/>
    <w:basedOn w:val="Sprotnaopomba-besedilo"/>
    <w:link w:val="opombaZnak"/>
    <w:qFormat/>
    <w:rsid w:val="00CD6FFD"/>
    <w:pPr>
      <w:spacing w:after="60"/>
      <w:ind w:left="284" w:hanging="284"/>
      <w:jc w:val="both"/>
    </w:pPr>
    <w:rPr>
      <w:rFonts w:ascii="Calibri" w:hAnsi="Calibri"/>
      <w:position w:val="2"/>
      <w:sz w:val="18"/>
      <w:lang w:eastAsia="en-GB"/>
    </w:rPr>
  </w:style>
  <w:style w:type="character" w:customStyle="1" w:styleId="opombaZnak">
    <w:name w:val="opomba Znak"/>
    <w:basedOn w:val="Privzetapisavaodstavka"/>
    <w:link w:val="opomba"/>
    <w:rsid w:val="00CD6FFD"/>
    <w:rPr>
      <w:rFonts w:ascii="Calibri" w:hAnsi="Calibri"/>
      <w:position w:val="2"/>
      <w:sz w:val="18"/>
      <w:lang w:eastAsia="en-GB"/>
    </w:rPr>
  </w:style>
  <w:style w:type="character" w:styleId="Pripombasklic">
    <w:name w:val="annotation reference"/>
    <w:basedOn w:val="Privzetapisavaodstavka"/>
    <w:semiHidden/>
    <w:unhideWhenUsed/>
    <w:rsid w:val="00564D92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64D92"/>
  </w:style>
  <w:style w:type="character" w:customStyle="1" w:styleId="PripombabesediloZnak">
    <w:name w:val="Pripomba – besedilo Znak"/>
    <w:basedOn w:val="Privzetapisavaodstavka"/>
    <w:link w:val="Pripombabesedilo"/>
    <w:semiHidden/>
    <w:rsid w:val="00564D92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64D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64D92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564D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64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0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s.Krajnc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Kutin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DB4A-BD62-4C88-AB99-835AE72C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čgbčjb</vt:lpstr>
    </vt:vector>
  </TitlesOfParts>
  <Company>KIS</Company>
  <LinksUpToDate>false</LinksUpToDate>
  <CharactersWithSpaces>7896</CharactersWithSpaces>
  <SharedDoc>false</SharedDoc>
  <HLinks>
    <vt:vector size="6" baseType="variant">
      <vt:variant>
        <vt:i4>5308464</vt:i4>
      </vt:variant>
      <vt:variant>
        <vt:i4>3</vt:i4>
      </vt:variant>
      <vt:variant>
        <vt:i4>0</vt:i4>
      </vt:variant>
      <vt:variant>
        <vt:i4>5</vt:i4>
      </vt:variant>
      <vt:variant>
        <vt:lpwstr>mailto:ales.krajnc@gov.si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čgbčjb</dc:title>
  <dc:creator>Tomaž Cunder S</dc:creator>
  <cp:lastModifiedBy>Jure Brečko</cp:lastModifiedBy>
  <cp:revision>57</cp:revision>
  <cp:lastPrinted>2004-12-23T14:02:00Z</cp:lastPrinted>
  <dcterms:created xsi:type="dcterms:W3CDTF">2020-11-13T08:00:00Z</dcterms:created>
  <dcterms:modified xsi:type="dcterms:W3CDTF">2020-12-22T13:40:00Z</dcterms:modified>
</cp:coreProperties>
</file>